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3.png" ContentType="image/png"/>
  <Override PartName="/word/media/rId35.png" ContentType="image/png"/>
  <Override PartName="/word/media/rId37.png" ContentType="image/png"/>
  <Override PartName="/word/media/rId36.png" ContentType="image/png"/>
  <Override PartName="/word/media/rId38.png" ContentType="image/png"/>
  <Override PartName="/word/media/rId29.png" ContentType="image/png"/>
  <Override PartName="/word/media/rId117.png" ContentType="image/png"/>
  <Override PartName="/word/media/rId41.png" ContentType="image/png"/>
  <Override PartName="/word/media/rId51.png" ContentType="image/png"/>
  <Override PartName="/word/media/rId49.png" ContentType="image/png"/>
  <Override PartName="/word/media/rId47.png" ContentType="image/png"/>
  <Override PartName="/word/media/rId45.png" ContentType="image/png"/>
  <Override PartName="/word/media/rId43.png" ContentType="image/png"/>
  <Override PartName="/word/media/rId27.png" ContentType="image/png"/>
  <Override PartName="/word/media/rId34.png" ContentType="image/png"/>
  <Override PartName="/word/media/rId123.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7.png" ContentType="image/png"/>
  <Override PartName="/word/media/rId76.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7.png" ContentType="image/png"/>
  <Override PartName="/word/media/rId106.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50.png" ContentType="image/png"/>
  <Override PartName="/word/media/rId149.png" ContentType="image/png"/>
  <Override PartName="/word/media/rId151.png" ContentType="image/png"/>
  <Override PartName="/word/media/rId152.png" ContentType="image/png"/>
  <Override PartName="/word/media/rId153.png" ContentType="image/png"/>
  <Override PartName="/word/media/rId126.png" ContentType="image/png"/>
  <Override PartName="/word/media/rId154.png" ContentType="image/png"/>
  <Override PartName="/word/media/rId1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to</w:t>
      </w:r>
      <w:r>
        <w:t xml:space="preserve"> </w:t>
      </w:r>
      <w:r>
        <w:t xml:space="preserve">Causes</w:t>
      </w:r>
      <w:r>
        <w:t xml:space="preserve"> </w:t>
      </w:r>
      <w:r>
        <w:t xml:space="preserve">and</w:t>
      </w:r>
      <w:r>
        <w:t xml:space="preserve"> </w:t>
      </w:r>
      <w:r>
        <w:t xml:space="preserve">Consequences</w:t>
      </w:r>
      <w:r>
        <w:t xml:space="preserve"> </w:t>
      </w:r>
      <w:r>
        <w:t xml:space="preserve">of</w:t>
      </w:r>
      <w:r>
        <w:t xml:space="preserve"> </w:t>
      </w:r>
      <w:r>
        <w:t xml:space="preserve">Child</w:t>
      </w:r>
      <w:r>
        <w:t xml:space="preserve"> </w:t>
      </w:r>
      <w:r>
        <w:t xml:space="preserve">Growth</w:t>
      </w:r>
      <w:r>
        <w:t xml:space="preserve"> </w:t>
      </w:r>
      <w:r>
        <w:t xml:space="preserve">Failure</w:t>
      </w:r>
      <w:r>
        <w:t xml:space="preserve"> </w:t>
      </w:r>
      <w:r>
        <w:t xml:space="preserve">in</w:t>
      </w:r>
      <w:r>
        <w:t xml:space="preserve"> </w:t>
      </w:r>
      <w:r>
        <w:t xml:space="preserve">Low-</w:t>
      </w:r>
      <w:r>
        <w:t xml:space="preserve"> </w:t>
      </w:r>
      <w:r>
        <w:t xml:space="preserve">and</w:t>
      </w:r>
      <w:r>
        <w:t xml:space="preserve"> </w:t>
      </w:r>
      <w:r>
        <w:t xml:space="preserve">Middle-income</w:t>
      </w:r>
      <w:r>
        <w:t xml:space="preserve"> </w:t>
      </w:r>
      <w:r>
        <w:t xml:space="preserve">Countries</w:t>
      </w:r>
    </w:p>
    <w:p>
      <w:pPr>
        <w:pStyle w:val="Author"/>
      </w:pPr>
      <w:r>
        <w:t xml:space="preserve">Andrew</w:t>
      </w:r>
      <w:r>
        <w:t xml:space="preserve"> </w:t>
      </w:r>
      <w:r>
        <w:t xml:space="preserve">Mertens</w:t>
      </w:r>
      <w:r>
        <w:t xml:space="preserve"> </w:t>
      </w:r>
      <w:r>
        <w:t xml:space="preserve">et</w:t>
      </w:r>
      <w:r>
        <w:t xml:space="preserve"> </w:t>
      </w:r>
      <w:r>
        <w:t xml:space="preserve">al.</w:t>
      </w:r>
    </w:p>
    <w:p>
      <w:pPr>
        <w:pStyle w:val="Date"/>
      </w:pPr>
      <w:r>
        <w:t xml:space="preserve">2023-05-17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dags"/>
    <w:p>
      <w:pPr>
        <w:pStyle w:val="Heading1"/>
      </w:pPr>
      <w:r>
        <w:rPr>
          <w:rStyle w:val="SectionNumber"/>
        </w:rPr>
        <w:t xml:space="preserve">1</w:t>
      </w:r>
      <w:r>
        <w:tab/>
      </w:r>
      <w:r>
        <w:t xml:space="preserve">Directed Acyclic Diagrams (DAGs)</w:t>
      </w:r>
    </w:p>
    <w:bookmarkStart w:id="20" w:name="overview"/>
    <w:p>
      <w:pPr>
        <w:pStyle w:val="Heading2"/>
      </w:pPr>
      <w:r>
        <w:rPr>
          <w:rStyle w:val="SectionNumber"/>
        </w:rPr>
        <w:t xml:space="preserve">1.1</w:t>
      </w:r>
      <w:r>
        <w:tab/>
      </w:r>
      <w:r>
        <w:t xml:space="preserve">Overview</w:t>
      </w:r>
    </w:p>
    <w:p>
      <w:pPr>
        <w:pStyle w:val="FirstParagraph"/>
      </w:pPr>
      <w:r>
        <w:rPr>
          <w:bCs/>
          <w:b/>
        </w:rPr>
        <w:t xml:space="preserve">Purpose:</w:t>
      </w:r>
      <w:r>
        <w:rPr>
          <w:bCs/>
          <w:b/>
        </w:rPr>
        <w:t xml:space="preserve"> </w:t>
      </w:r>
      <w:r>
        <w:t xml:space="preserve"> </w:t>
      </w:r>
      <w:r>
        <w:t xml:space="preserve">For each exposure, we used the directed acyclic graph (DAG) framework to identify potential confounders from the broader set of exposures used in the analysis. We did not adjust for characteristics that were assumed to be intermediate on the causal path between any exposure and the outcome, because while controlling for mediators may help adjust for unmeasured confounders in some conditions, it can also lead to collider bias. As DAG’s were hand-drawn and are complex for the large number of exposures, we show an example DAG here and then list all potential considered for each exposure in a table below.</w:t>
      </w:r>
    </w:p>
    <w:p>
      <w:pPr>
        <w:pStyle w:val="BodyText"/>
      </w:pPr>
      <w:r>
        <w:rPr>
          <w:bCs/>
          <w:b/>
        </w:rPr>
        <w:t xml:space="preserve">Interpretation:</w:t>
      </w:r>
      <w:r>
        <w:rPr>
          <w:bCs/>
          <w:b/>
        </w:rPr>
        <w:t xml:space="preserve"> </w:t>
      </w:r>
      <w:r>
        <w:t xml:space="preserve"> </w:t>
      </w:r>
      <w:r>
        <w:t xml:space="preserve">The DAG below shows the set of adjusted-for exposures and unadjusted-for exposures for the estimated association between maternal weight and child growth faltering. Grey variables are on the causal pathway and are not adjusted for, while blue variables were considered potential confounders and adjusted for. Note collinear variables like maternal BMI are shown as on the causal pathway in this DAG, which may not be biologically accurate, but they were not adjusted for so are included with the potential mediators.</w:t>
      </w:r>
    </w:p>
    <w:p>
      <w:pPr>
        <w:pStyle w:val="BodyText"/>
      </w:pPr>
      <w:r>
        <w:rPr>
          <w:bCs/>
          <w:b/>
        </w:rPr>
        <w:t xml:space="preserve">Implications:</w:t>
      </w:r>
      <w:r>
        <w:rPr>
          <w:bCs/>
          <w:b/>
        </w:rPr>
        <w:t xml:space="preserve"> </w:t>
      </w:r>
      <w:r>
        <w:t xml:space="preserve"> </w:t>
      </w:r>
      <w:r>
        <w:t xml:space="preserve">Given the exposures measured in each study, we attempted to maximally adjust for confounding without adjusting for mediators on the casual pathway, which would remove part of the effect of the exposure on the outcome. Confounders were not measured in every cohort, so there could be residual confounding in cohort-specific estimates, and actual DAGs will look different across cohort-specific estimates for each study.</w:t>
      </w:r>
    </w:p>
    <w:bookmarkEnd w:id="20"/>
    <w:bookmarkStart w:id="22" w:name="simplified-example-dag"/>
    <w:p>
      <w:pPr>
        <w:pStyle w:val="Heading2"/>
      </w:pPr>
      <w:r>
        <w:rPr>
          <w:rStyle w:val="SectionNumber"/>
        </w:rPr>
        <w:t xml:space="preserve">1.2</w:t>
      </w:r>
      <w:r>
        <w:tab/>
      </w:r>
      <w:r>
        <w:t xml:space="preserve">Simplified example DAG:</w:t>
      </w:r>
    </w:p>
    <w:p>
      <w:pPr>
        <w:pStyle w:val="FirstParagraph"/>
      </w:pPr>
      <w:r>
        <w:drawing>
          <wp:inline>
            <wp:extent cx="5334000" cy="5334000"/>
            <wp:effectExtent b="0" l="0" r="0" t="0"/>
            <wp:docPr descr="" title="" id="1" name="Picture"/>
            <a:graphic>
              <a:graphicData uri="http://schemas.openxmlformats.org/drawingml/2006/picture">
                <pic:pic>
                  <pic:nvPicPr>
                    <pic:cNvPr descr="/home/andrew.mertens/causes/figures/dags/dags/cc-example-dag.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bookmarkEnd w:id="22"/>
    <w:bookmarkStart w:id="24" w:name="X195b6fe788ba61d6d55f17aebe1f5bd758ef1a6"/>
    <w:p>
      <w:pPr>
        <w:pStyle w:val="Heading2"/>
      </w:pPr>
      <w:r>
        <w:rPr>
          <w:rStyle w:val="SectionNumber"/>
        </w:rPr>
        <w:t xml:space="preserve">1.3</w:t>
      </w:r>
      <w:r>
        <w:tab/>
      </w:r>
      <w:r>
        <w:t xml:space="preserve">DAG used: Association between maternal weight and child growth faltering</w:t>
      </w:r>
    </w:p>
    <w:p>
      <w:pPr>
        <w:pStyle w:val="FirstParagraph"/>
      </w:pPr>
      <w:r>
        <w:drawing>
          <wp:inline>
            <wp:extent cx="5334000" cy="5334000"/>
            <wp:effectExtent b="0" l="0" r="0" t="0"/>
            <wp:docPr descr="" title="" id="1" name="Picture"/>
            <a:graphic>
              <a:graphicData uri="http://schemas.openxmlformats.org/drawingml/2006/picture">
                <pic:pic>
                  <pic:nvPicPr>
                    <pic:cNvPr descr="/home/andrew.mertens/causes/figures/dags/dags/mwtkg.pn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bookmarkEnd w:id="24"/>
    <w:bookmarkStart w:id="25" w:name="table-of-adjustment-covariates"/>
    <w:p>
      <w:pPr>
        <w:pStyle w:val="Heading2"/>
      </w:pPr>
      <w:r>
        <w:rPr>
          <w:rStyle w:val="SectionNumber"/>
        </w:rPr>
        <w:t xml:space="preserve">1.4</w:t>
      </w:r>
      <w:r>
        <w:tab/>
      </w:r>
      <w:r>
        <w:t xml:space="preserve">Table of Adjustment Covariates</w:t>
      </w:r>
    </w:p>
    <w:tbl>
      <w:tblPr>
        <w:tblStyle w:val="Table"/>
        <w:tblW w:type="pct" w:w="5000"/>
        <w:tblLook w:firstRow="1" w:lastRow="0" w:firstColumn="0" w:lastColumn="0" w:noHBand="0" w:noVBand="0" w:val="0020"/>
      </w:tblPr>
      <w:tblGrid>
        <w:gridCol w:w="276"/>
        <w:gridCol w:w="7643"/>
      </w:tblGrid>
      <w:tr>
        <w:trPr>
          <w:tblHeader w:val="true"/>
        </w:trPr>
        <w:tc>
          <w:tcPr/>
          <w:p>
            <w:pPr>
              <w:pStyle w:val="Compact"/>
              <w:jc w:val="left"/>
            </w:pPr>
            <w:r>
              <w:t xml:space="preserve">Exposure</w:t>
            </w:r>
          </w:p>
        </w:tc>
        <w:tc>
          <w:tcPr/>
          <w:p>
            <w:pPr>
              <w:pStyle w:val="Compact"/>
              <w:jc w:val="left"/>
            </w:pPr>
            <w:r>
              <w:t xml:space="preserve">Potential adjustment covariates</w:t>
            </w:r>
          </w:p>
        </w:tc>
      </w:tr>
      <w:tr>
        <w:tc>
          <w:tcPr/>
          <w:p>
            <w:pPr>
              <w:pStyle w:val="Compact"/>
              <w:jc w:val="left"/>
            </w:pPr>
            <w:r>
              <w:t xml:space="preserve"># of children &lt;5 in HH</w:t>
            </w:r>
          </w:p>
        </w:tc>
        <w:tc>
          <w:tcPr/>
          <w:p>
            <w:pPr>
              <w:pStyle w:val="Compact"/>
              <w:jc w:val="left"/>
            </w:pPr>
            <w:r>
              <w:t xml:space="preserve">Treatment arm , Mother’s age , Father’s age , Mother’s education , Father’s education , HH wealth , HH food security , Mother’s height , Mother’s weight , BMI , Father’s height , Single parent , # of rooms in HH , Birth order , Treats drinking water , Clean cooking fuel usage, Improved floor , Improved sanitation , Safe water source</w:t>
            </w:r>
          </w:p>
        </w:tc>
      </w:tr>
      <w:tr>
        <w:tc>
          <w:tcPr/>
          <w:p>
            <w:pPr>
              <w:pStyle w:val="Compact"/>
              <w:jc w:val="left"/>
            </w:pPr>
            <w:r>
              <w:t xml:space="preserve"># of people in HH</w:t>
            </w:r>
          </w:p>
        </w:tc>
        <w:tc>
          <w:tcPr/>
          <w:p>
            <w:pPr>
              <w:pStyle w:val="Compact"/>
              <w:jc w:val="left"/>
            </w:pPr>
            <w:r>
              <w:t xml:space="preserve">Treatment arm , Mother’s age , Father’s age , Mother’s education , Father’s education , HH wealth , HH food security , Mother’s height , Mother’s weight , BMI , Father’s height , Single parent , # of rooms in HH , Birth order , Treats drinking water , Clean cooking fuel usage, Improved floor , Improved sanitation , Safe water source</w:t>
            </w:r>
          </w:p>
        </w:tc>
      </w:tr>
      <w:tr>
        <w:tc>
          <w:tcPr/>
          <w:p>
            <w:pPr>
              <w:pStyle w:val="Compact"/>
              <w:jc w:val="left"/>
            </w:pPr>
            <w:r>
              <w:t xml:space="preserve"># of rooms in HH</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people in HH , # of children &lt;5 in HH , Birth order , Treats drinking water , Clean cooking fuel usage, Improved floor , Improved sanitation , Safe water source</w:t>
            </w:r>
          </w:p>
        </w:tc>
      </w:tr>
      <w:tr>
        <w:tc>
          <w:tcPr/>
          <w:p>
            <w:pPr>
              <w:pStyle w:val="Compact"/>
              <w:jc w:val="left"/>
            </w:pPr>
            <w:r>
              <w:t xml:space="preserve">Any wasting &lt;6 mo.</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Birth length (cm)</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Birth order</w:t>
            </w:r>
          </w:p>
        </w:tc>
        <w:tc>
          <w:tcPr/>
          <w:p>
            <w:pPr>
              <w:pStyle w:val="Compact"/>
              <w:jc w:val="left"/>
            </w:pPr>
            <w:r>
              <w:t xml:space="preserve">Treatment arm , Mother’s age , Father’s age , Mother’s education , Father’s education , HH wealth , HH food security , Mother’s height , Mother’s weight , BMI , Father’s height , Vaginal birth , Child delivered at home , Single parent , # of rooms in HH , Treats drinking water , Clean cooking fuel usage, Improved floor , Improved sanitation , Safe water source</w:t>
            </w:r>
          </w:p>
        </w:tc>
      </w:tr>
      <w:tr>
        <w:tc>
          <w:tcPr/>
          <w:p>
            <w:pPr>
              <w:pStyle w:val="Compact"/>
              <w:jc w:val="left"/>
            </w:pPr>
            <w:r>
              <w:t xml:space="preserve">Birthweight (kg)</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Breastfed hour after birth</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Gestational age at birth, Birthweight (kg) , Birth length (cm)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Child delivered at home</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Clean cooking fuel usage</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Birth order , Treats drinking water , Improved floor , Improved sanitation , Safe water source</w:t>
            </w:r>
          </w:p>
        </w:tc>
      </w:tr>
      <w:tr>
        <w:tc>
          <w:tcPr/>
          <w:p>
            <w:pPr>
              <w:pStyle w:val="Compact"/>
              <w:jc w:val="left"/>
            </w:pPr>
            <w:r>
              <w:t xml:space="preserve">Diarrhea &lt;24 mo. (% days)</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Gestational age at birth, Birthweight (kg) , Birth length (cm)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Diarrhea &lt;6 mo. (% days)</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Gestational age at birth, Birthweight (kg) , Birth length (cm)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Excl/Pred breastfed &lt;6mo.</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Gestational age at birth, Birthweight (kg) , Birth length (cm)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Father’s age</w:t>
            </w:r>
          </w:p>
        </w:tc>
        <w:tc>
          <w:tcPr/>
          <w:p>
            <w:pPr>
              <w:pStyle w:val="Compact"/>
              <w:jc w:val="left"/>
            </w:pPr>
            <w:r>
              <w:t xml:space="preserve">Treatment arm , Mother’s age , Mother’s education , Father’s education , HH wealth , HH food security , Mother’s height , Mother’s weight , BMI , Father’s height , Single parent , # of rooms in HH , # of people in HH , # of children &lt;5 in HH , Month of Birth , Treats drinking water , Clean cooking fuel usage, Improved floor , Improved sanitation , Safe water source</w:t>
            </w:r>
          </w:p>
        </w:tc>
      </w:tr>
      <w:tr>
        <w:tc>
          <w:tcPr/>
          <w:p>
            <w:pPr>
              <w:pStyle w:val="Compact"/>
              <w:jc w:val="left"/>
            </w:pPr>
            <w:r>
              <w:t xml:space="preserve">Father’s education</w:t>
            </w:r>
          </w:p>
        </w:tc>
        <w:tc>
          <w:tcPr/>
          <w:p>
            <w:pPr>
              <w:pStyle w:val="Compact"/>
              <w:jc w:val="left"/>
            </w:pPr>
            <w:r>
              <w:t xml:space="preserve">Treatment arm , Mother’s age , Father’s age , Mother’s education , HH wealth , Mother’s height , Mother’s weight , BMI , Father’s height , Gestational age at birth, Birthweight (kg) , Birth length (cm) , Single parent , # of rooms in HH , # of people in HH , # of children &lt;5 in HH , Treats drinking water , Clean cooking fuel usage, Improved floor , Improved sanitation , Safe water source</w:t>
            </w:r>
          </w:p>
        </w:tc>
      </w:tr>
      <w:tr>
        <w:tc>
          <w:tcPr/>
          <w:p>
            <w:pPr>
              <w:pStyle w:val="Compact"/>
              <w:jc w:val="left"/>
            </w:pPr>
            <w:r>
              <w:t xml:space="preserve">Father’s height</w:t>
            </w:r>
          </w:p>
        </w:tc>
        <w:tc>
          <w:tcPr/>
          <w:p>
            <w:pPr>
              <w:pStyle w:val="Compact"/>
              <w:jc w:val="left"/>
            </w:pPr>
            <w:r>
              <w:t xml:space="preserve">Treatment arm , Mother’s age , Father’s age , Mother’s education , Father’s education , HH wealth , HH food security , Mother’s height , Mother’s weight , BMI , Single parent , # of rooms in HH , Treats drinking water , Clean cooking fuel usage, Improved floor , Improved sanitation , Safe water source</w:t>
            </w:r>
          </w:p>
        </w:tc>
      </w:tr>
      <w:tr>
        <w:tc>
          <w:tcPr/>
          <w:p>
            <w:pPr>
              <w:pStyle w:val="Compact"/>
              <w:jc w:val="left"/>
            </w:pPr>
            <w:r>
              <w:t xml:space="preserve">Gestational age at birth</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HH food security</w:t>
            </w:r>
          </w:p>
        </w:tc>
        <w:tc>
          <w:tcPr/>
          <w:p>
            <w:pPr>
              <w:pStyle w:val="Compact"/>
              <w:jc w:val="left"/>
            </w:pPr>
            <w:r>
              <w:t xml:space="preserve">Treatment arm , Child sex , Mother’s age , Father’s age , Mother’s education , Father’s education , HH wealth , Vaginal birth , Child delivered at home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HH wealth</w:t>
            </w:r>
          </w:p>
        </w:tc>
        <w:tc>
          <w:tcPr/>
          <w:p>
            <w:pPr>
              <w:pStyle w:val="Compact"/>
              <w:jc w:val="left"/>
            </w:pPr>
            <w:r>
              <w:t xml:space="preserve">Treatment arm , Child sex , Mother’s age , Father’s age , Mother’s education , Father’s education , Gestational age at birth, Birthweight (kg) , Birth length (cm) , Single parent , # of people in HH , # of children &lt;5 in HH , Birth order</w:t>
            </w:r>
          </w:p>
        </w:tc>
      </w:tr>
      <w:tr>
        <w:tc>
          <w:tcPr/>
          <w:p>
            <w:pPr>
              <w:pStyle w:val="Compact"/>
              <w:jc w:val="left"/>
            </w:pPr>
            <w:r>
              <w:t xml:space="preserve">Improved floor</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Birth order , Treats drinking water , Clean cooking fuel usage, Improved sanitation , Safe water source</w:t>
            </w:r>
          </w:p>
        </w:tc>
      </w:tr>
      <w:tr>
        <w:tc>
          <w:tcPr/>
          <w:p>
            <w:pPr>
              <w:pStyle w:val="Compact"/>
              <w:jc w:val="left"/>
            </w:pPr>
            <w:r>
              <w:t xml:space="preserve">Improved sanitation</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Birth order , Treats drinking water , Clean cooking fuel usage, Improved floor , Safe water source</w:t>
            </w:r>
          </w:p>
        </w:tc>
      </w:tr>
      <w:tr>
        <w:tc>
          <w:tcPr/>
          <w:p>
            <w:pPr>
              <w:pStyle w:val="Compact"/>
              <w:jc w:val="left"/>
            </w:pPr>
            <w:r>
              <w:t xml:space="preserve">Mother’s age</w:t>
            </w:r>
          </w:p>
        </w:tc>
        <w:tc>
          <w:tcPr/>
          <w:p>
            <w:pPr>
              <w:pStyle w:val="Compact"/>
              <w:jc w:val="left"/>
            </w:pPr>
            <w:r>
              <w:t xml:space="preserve">Treatment arm , Father’s age , Mother’s education , Father’s education , HH wealth , HH food security , Mother’s height , Mother’s weight , BMI , Father’s height , Single parent , # of rooms in HH , # of people in HH , # of children &lt;5 in HH , Treats drinking water , Clean cooking fuel usage, Improved floor , Improved sanitation , Safe water source</w:t>
            </w:r>
          </w:p>
        </w:tc>
      </w:tr>
      <w:tr>
        <w:tc>
          <w:tcPr/>
          <w:p>
            <w:pPr>
              <w:pStyle w:val="Compact"/>
              <w:jc w:val="left"/>
            </w:pPr>
            <w:r>
              <w:t xml:space="preserve">Mother’s BMI</w:t>
            </w:r>
          </w:p>
        </w:tc>
        <w:tc>
          <w:tcPr/>
          <w:p>
            <w:pPr>
              <w:pStyle w:val="Compact"/>
              <w:jc w:val="left"/>
            </w:pPr>
            <w:r>
              <w:t xml:space="preserve">Treatment arm , Mother’s age , Father’s age , Mother’s education , Father’s education , HH wealth , HH food security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Mother’s education</w:t>
            </w:r>
          </w:p>
        </w:tc>
        <w:tc>
          <w:tcPr/>
          <w:p>
            <w:pPr>
              <w:pStyle w:val="Compact"/>
              <w:jc w:val="left"/>
            </w:pPr>
            <w:r>
              <w:t xml:space="preserve">Treatment arm , Mother’s age , Father’s age , Father’s education , HH wealth , Mother’s height , Mother’s weight , BMI , Father’s height , Gestational age at birth, Birthweight (kg) , Birth length (cm) , Single parent , # of rooms in HH , # of people in HH , # of children &lt;5 in HH , Treats drinking water , Clean cooking fuel usage, Improved floor , Improved sanitation , Safe water source</w:t>
            </w:r>
          </w:p>
        </w:tc>
      </w:tr>
      <w:tr>
        <w:tc>
          <w:tcPr/>
          <w:p>
            <w:pPr>
              <w:pStyle w:val="Compact"/>
              <w:jc w:val="left"/>
            </w:pPr>
            <w:r>
              <w:t xml:space="preserve">Mother’s height</w:t>
            </w:r>
          </w:p>
        </w:tc>
        <w:tc>
          <w:tcPr/>
          <w:p>
            <w:pPr>
              <w:pStyle w:val="Compact"/>
              <w:jc w:val="left"/>
            </w:pPr>
            <w:r>
              <w:t xml:space="preserve">Treatment arm , Mother’s age , Father’s age , Mother’s education , Father’s education , HH wealth , HH food security , Father’s height , Single parent , # of rooms in HH , Treats drinking water , Clean cooking fuel usage, Improved floor , Improved sanitation , Safe water source</w:t>
            </w:r>
          </w:p>
        </w:tc>
      </w:tr>
      <w:tr>
        <w:tc>
          <w:tcPr/>
          <w:p>
            <w:pPr>
              <w:pStyle w:val="Compact"/>
              <w:jc w:val="left"/>
            </w:pPr>
            <w:r>
              <w:t xml:space="preserve">Mother’s weight</w:t>
            </w:r>
          </w:p>
        </w:tc>
        <w:tc>
          <w:tcPr/>
          <w:p>
            <w:pPr>
              <w:pStyle w:val="Compact"/>
              <w:jc w:val="left"/>
            </w:pPr>
            <w:r>
              <w:t xml:space="preserve">Treatment arm , Mother’s age , Father’s age , Mother’s education , Father’s education , HH wealth , HH food security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Persistent wasting &lt;6 mo.</w:t>
            </w:r>
          </w:p>
        </w:tc>
        <w:tc>
          <w:tcPr/>
          <w:p>
            <w:pPr>
              <w:pStyle w:val="Compact"/>
              <w:jc w:val="left"/>
            </w:pPr>
            <w:r>
              <w:t xml:space="preserve">Treatment arm , Child sex , Mother’s age , Father’s age , Mother’s education , Father’s education , HH wealth , HH food security , Mother’s height , Mother’s weight , BMI , Father’s height , Vaginal birth , Child delivered at home , Single parent , # of rooms in HH , # of people in HH , # of children &lt;5 in HH , Month of measurement , Month of Birth , Birth order , Treats drinking water , Clean cooking fuel usage, Improved floor , Improved sanitation , Safe water source</w:t>
            </w:r>
          </w:p>
        </w:tc>
      </w:tr>
      <w:tr>
        <w:tc>
          <w:tcPr/>
          <w:p>
            <w:pPr>
              <w:pStyle w:val="Compact"/>
              <w:jc w:val="left"/>
            </w:pPr>
            <w:r>
              <w:t xml:space="preserve">Safe water source</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Birth order , Treats drinking water , Clean cooking fuel usage, Improved floor , Improved sanitation</w:t>
            </w:r>
          </w:p>
        </w:tc>
      </w:tr>
      <w:tr>
        <w:tc>
          <w:tcPr/>
          <w:p>
            <w:pPr>
              <w:pStyle w:val="Compact"/>
              <w:jc w:val="left"/>
            </w:pPr>
            <w:r>
              <w:t xml:space="preserve">Single parent</w:t>
            </w:r>
          </w:p>
        </w:tc>
        <w:tc>
          <w:tcPr/>
          <w:p>
            <w:pPr>
              <w:pStyle w:val="Compact"/>
              <w:jc w:val="left"/>
            </w:pPr>
            <w:r>
              <w:t xml:space="preserve">Treatment arm , Mother’s age , Father’s age , Mother’s education , Father’s education , HH wealth , HH food security , Mother’s height , Mother’s weight , BMI , Father’s height , # of rooms in HH , # of people in HH , # of children &lt;5 in HH , Treats drinking water , Clean cooking fuel usage, Improved floor , Improved sanitation , Safe water source</w:t>
            </w:r>
          </w:p>
        </w:tc>
      </w:tr>
      <w:tr>
        <w:tc>
          <w:tcPr/>
          <w:p>
            <w:pPr>
              <w:pStyle w:val="Compact"/>
              <w:jc w:val="left"/>
            </w:pPr>
            <w:r>
              <w:t xml:space="preserve">Small for gestational age</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Month of Birth , Birth order , Treats drinking water , Clean cooking fuel usage, Improved floor , Improved sanitation , Safe water source</w:t>
            </w:r>
          </w:p>
        </w:tc>
      </w:tr>
      <w:tr>
        <w:tc>
          <w:tcPr/>
          <w:p>
            <w:pPr>
              <w:pStyle w:val="Compact"/>
              <w:jc w:val="left"/>
            </w:pPr>
            <w:r>
              <w:t xml:space="preserve">Treats drinking water</w:t>
            </w:r>
          </w:p>
        </w:tc>
        <w:tc>
          <w:tcPr/>
          <w:p>
            <w:pPr>
              <w:pStyle w:val="Compact"/>
              <w:jc w:val="left"/>
            </w:pPr>
            <w:r>
              <w:t xml:space="preserve">Treatment arm , Child sex , Mother’s age , Father’s age , Mother’s education , Father’s education , HH wealth , HH food security , Mother’s height , Mother’s weight , BMI , Father’s height , Single parent , # of rooms in HH , # of people in HH , # of children &lt;5 in HH , Month of Birth , Birth order , Clean cooking fuel usage, Improved floor , Improved sanitation , Safe water source</w:t>
            </w:r>
          </w:p>
        </w:tc>
      </w:tr>
    </w:tbl>
    <w:bookmarkEnd w:id="25"/>
    <w:bookmarkEnd w:id="26"/>
    <w:bookmarkStart w:id="32" w:name="missing"/>
    <w:p>
      <w:pPr>
        <w:pStyle w:val="Heading1"/>
      </w:pPr>
      <w:r>
        <w:rPr>
          <w:rStyle w:val="SectionNumber"/>
        </w:rPr>
        <w:t xml:space="preserve">2</w:t>
      </w:r>
      <w:r>
        <w:tab/>
      </w:r>
      <w:r>
        <w:t xml:space="preserve">Complete-Case Sensitivity Analyses</w:t>
      </w:r>
    </w:p>
    <w:bookmarkStart w:id="31" w:name="overview-1"/>
    <w:p>
      <w:pPr>
        <w:pStyle w:val="Heading2"/>
      </w:pPr>
      <w:r>
        <w:rPr>
          <w:rStyle w:val="SectionNumber"/>
        </w:rPr>
        <w:t xml:space="preserve">2.1</w:t>
      </w:r>
      <w:r>
        <w:tab/>
      </w:r>
      <w:r>
        <w:t xml:space="preserve">Overview</w:t>
      </w:r>
    </w:p>
    <w:p>
      <w:pPr>
        <w:pStyle w:val="FirstParagraph"/>
      </w:pPr>
      <w:r>
        <w:rPr>
          <w:bCs/>
          <w:b/>
        </w:rPr>
        <w:t xml:space="preserve">Purpose:</w:t>
      </w:r>
      <w:r>
        <w:rPr>
          <w:bCs/>
          <w:b/>
        </w:rPr>
        <w:t xml:space="preserve"> </w:t>
      </w:r>
      <w:r>
        <w:t xml:space="preserve"> </w:t>
      </w:r>
      <w:r>
        <w:rPr>
          <w:bCs/>
          <w:b/>
        </w:rPr>
        <w:t xml:space="preserve">Interpretation:</w:t>
      </w:r>
      <w:r>
        <w:rPr>
          <w:bCs/>
          <w:b/>
        </w:rPr>
        <w:t xml:space="preserve"> </w:t>
      </w:r>
      <w:r>
        <w:t xml:space="preserve"> </w:t>
      </w:r>
      <w:r>
        <w:rPr>
          <w:bCs/>
          <w:b/>
        </w:rPr>
        <w:t xml:space="preserve">Implications:</w:t>
      </w:r>
      <w:r>
        <w:rPr>
          <w:bCs/>
          <w:b/>
        </w:rPr>
        <w:t xml:space="preserve"> </w:t>
      </w:r>
    </w:p>
    <w:bookmarkStart w:id="28" w:name="Xa1583ea85f3773738654197c044b15f9d4e9ee8"/>
    <w:p>
      <w:pPr>
        <w:pStyle w:val="Heading3"/>
      </w:pPr>
      <w:r>
        <w:rPr>
          <w:rStyle w:val="SectionNumber"/>
        </w:rPr>
        <w:t xml:space="preserve">2.1.1</w:t>
      </w:r>
      <w:r>
        <w:tab/>
      </w:r>
      <w:r>
        <w:t xml:space="preserve">Heatmap of covariate missingness by study</w:t>
      </w:r>
    </w:p>
    <w:p>
      <w:pPr>
        <w:pStyle w:val="FirstParagraph"/>
      </w:pPr>
      <w:r>
        <w:drawing>
          <wp:inline>
            <wp:extent cx="5334000" cy="5334000"/>
            <wp:effectExtent b="0" l="0" r="0" t="0"/>
            <wp:docPr descr="" title="" id="1" name="Picture"/>
            <a:graphic>
              <a:graphicData uri="http://schemas.openxmlformats.org/drawingml/2006/picture">
                <pic:pic>
                  <pic:nvPicPr>
                    <pic:cNvPr descr="figures//risk-factor/fig-rf-cov-missigness-heatmap.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bookmarkEnd w:id="28"/>
    <w:bookmarkStart w:id="30" w:name="X15c74a2726326c24e27244fa6a468d8a0907e3a"/>
    <w:p>
      <w:pPr>
        <w:pStyle w:val="Heading3"/>
      </w:pPr>
      <w:r>
        <w:rPr>
          <w:rStyle w:val="SectionNumber"/>
        </w:rPr>
        <w:t xml:space="preserve">2.1.2</w:t>
      </w:r>
      <w:r>
        <w:tab/>
      </w:r>
      <w:r>
        <w:t xml:space="preserve">Sensitivity analysis to complete case versus median/mode imputed analyses</w:t>
      </w:r>
    </w:p>
    <w:p>
      <w:pPr>
        <w:pStyle w:val="FirstParagraph"/>
      </w:pPr>
      <w:r>
        <w:t xml:space="preserve">The median absolute difference in pooled Z-scores was 0.009 and the mean absolute difference was 0.022.</w:t>
      </w:r>
    </w:p>
    <w:p>
      <w:pPr>
        <w:pStyle w:val="BodyText"/>
      </w:pPr>
      <w:r>
        <w:drawing>
          <wp:inline>
            <wp:extent cx="5334000" cy="6858000"/>
            <wp:effectExtent b="0" l="0" r="0" t="0"/>
            <wp:docPr descr="" title="" id="1" name="Picture"/>
            <a:graphic>
              <a:graphicData uri="http://schemas.openxmlformats.org/drawingml/2006/picture">
                <pic:pic>
                  <pic:nvPicPr>
                    <pic:cNvPr descr="figures//risk-factor/PIE_CC_sens.png" id="0" name="Picture"/>
                    <pic:cNvPicPr>
                      <a:picLocks noChangeArrowheads="1" noChangeAspect="1"/>
                    </pic:cNvPicPr>
                  </pic:nvPicPr>
                  <pic:blipFill>
                    <a:blip r:embed="rId29"/>
                    <a:stretch>
                      <a:fillRect/>
                    </a:stretch>
                  </pic:blipFill>
                  <pic:spPr bwMode="auto">
                    <a:xfrm>
                      <a:off x="0" y="0"/>
                      <a:ext cx="5334000" cy="6858000"/>
                    </a:xfrm>
                    <a:prstGeom prst="rect">
                      <a:avLst/>
                    </a:prstGeom>
                    <a:noFill/>
                    <a:ln w="9525">
                      <a:noFill/>
                      <a:headEnd/>
                      <a:tailEnd/>
                    </a:ln>
                  </pic:spPr>
                </pic:pic>
              </a:graphicData>
            </a:graphic>
          </wp:inline>
        </w:drawing>
      </w:r>
    </w:p>
    <w:bookmarkEnd w:id="30"/>
    <w:bookmarkEnd w:id="31"/>
    <w:bookmarkEnd w:id="32"/>
    <w:bookmarkStart w:id="40" w:name="fixed-effects"/>
    <w:p>
      <w:pPr>
        <w:pStyle w:val="Heading1"/>
      </w:pPr>
      <w:r>
        <w:rPr>
          <w:rStyle w:val="SectionNumber"/>
        </w:rPr>
        <w:t xml:space="preserve">3</w:t>
      </w:r>
      <w:r>
        <w:tab/>
      </w:r>
      <w:r>
        <w:t xml:space="preserve">Sensitivity analysis using fixed effects</w:t>
      </w:r>
    </w:p>
    <w:bookmarkStart w:id="33" w:name="overview-2"/>
    <w:p>
      <w:pPr>
        <w:pStyle w:val="Heading2"/>
      </w:pPr>
      <w:r>
        <w:rPr>
          <w:rStyle w:val="SectionNumber"/>
        </w:rPr>
        <w:t xml:space="preserve">3.1</w:t>
      </w:r>
      <w:r>
        <w:tab/>
      </w:r>
      <w:r>
        <w:t xml:space="preserve">Overview</w:t>
      </w:r>
    </w:p>
    <w:p>
      <w:pPr>
        <w:pStyle w:val="FirstParagraph"/>
      </w:pPr>
      <w:r>
        <w:rPr>
          <w:bCs/>
          <w:b/>
        </w:rPr>
        <w:t xml:space="preserve">Purpose:</w:t>
      </w:r>
      <w:r>
        <w:rPr>
          <w:bCs/>
          <w:b/>
        </w:rPr>
        <w:t xml:space="preserve"> </w:t>
      </w:r>
      <w:r>
        <w:t xml:space="preserve"> </w:t>
      </w:r>
      <w:r>
        <w:t xml:space="preserve">In the primary manuscript, we compared estimates pooled across studies using random effects models, which are more conservative in the presence of heterogeneity across studies. Here, we present estimates pooled using fixed effects. Inferences about estimates from fixed effects models are restricted to only the included studies, while random effects estimates assume included studies are sampled from a distribution of hypothetical studies.[^1]</w:t>
      </w:r>
    </w:p>
    <w:p>
      <w:pPr>
        <w:pStyle w:val="BodyText"/>
      </w:pPr>
      <w:r>
        <w:rPr>
          <w:bCs/>
          <w:b/>
        </w:rPr>
        <w:t xml:space="preserve">Interpretation:</w:t>
      </w:r>
      <w:r>
        <w:rPr>
          <w:bCs/>
          <w:b/>
        </w:rPr>
        <w:t xml:space="preserve"> </w:t>
      </w:r>
    </w:p>
    <w:p>
      <w:pPr>
        <w:pStyle w:val="BodyText"/>
      </w:pPr>
      <w:r>
        <w:t xml:space="preserve">Fixed effect estimates had narrow confidence intervals, and therefore more risk factors had statistically significant PIEs.</w:t>
      </w:r>
    </w:p>
    <w:p>
      <w:pPr>
        <w:pStyle w:val="BodyText"/>
      </w:pPr>
      <w:r>
        <w:rPr>
          <w:bCs/>
          <w:b/>
        </w:rPr>
        <w:t xml:space="preserve">Implications:</w:t>
      </w:r>
    </w:p>
    <w:p>
      <w:pPr>
        <w:pStyle w:val="BodyText"/>
      </w:pPr>
      <w:r>
        <w:t xml:space="preserve">The fixed effect estimates are weighted towards results from larger studies, so are more heavily influenced by the large Jivita-3, Probit, and ZVITAMBO trials. But in general, the key exposures identified from the random-effects estimates were also had the strongest associations when pooled using fixed-effect estimates.</w:t>
      </w:r>
    </w:p>
    <w:bookmarkEnd w:id="33"/>
    <w:bookmarkStart w:id="39" w:name="X0d98592dc8dc7fec99a63a5ea1426922d68bec7"/>
    <w:p>
      <w:pPr>
        <w:pStyle w:val="Heading2"/>
      </w:pPr>
      <w:r>
        <w:rPr>
          <w:rStyle w:val="SectionNumber"/>
        </w:rPr>
        <w:t xml:space="preserve">3.2</w:t>
      </w:r>
      <w:r>
        <w:tab/>
      </w:r>
      <w:r>
        <w:t xml:space="preserve">Primary manuscript figures recreated with estimates pooled using fixed effects</w:t>
      </w:r>
    </w:p>
    <w:p>
      <w:pPr>
        <w:pStyle w:val="FirstParagraph"/>
      </w:pPr>
      <w:r>
        <w:t xml:space="preserve">More estimates are significant when pooling using fixed effects due to the generally smaller confidence intervals.</w:t>
      </w:r>
    </w:p>
    <w:p>
      <w:pPr>
        <w:pStyle w:val="BodyText"/>
      </w:pPr>
      <w:r>
        <w:drawing>
          <wp:inline>
            <wp:extent cx="5334000" cy="6493565"/>
            <wp:effectExtent b="0" l="0" r="0" t="0"/>
            <wp:docPr descr="" title="" id="1" name="Picture"/>
            <a:graphic>
              <a:graphicData uri="http://schemas.openxmlformats.org/drawingml/2006/picture">
                <pic:pic>
                  <pic:nvPicPr>
                    <pic:cNvPr descr="figures//risk-factor/fig-sig-heatmap_FE.png" id="0" name="Picture"/>
                    <pic:cNvPicPr>
                      <a:picLocks noChangeArrowheads="1" noChangeAspect="1"/>
                    </pic:cNvPicPr>
                  </pic:nvPicPr>
                  <pic:blipFill>
                    <a:blip r:embed="rId34"/>
                    <a:stretch>
                      <a:fillRect/>
                    </a:stretch>
                  </pic:blipFill>
                  <pic:spPr bwMode="auto">
                    <a:xfrm>
                      <a:off x="0" y="0"/>
                      <a:ext cx="5334000" cy="6493565"/>
                    </a:xfrm>
                    <a:prstGeom prst="rect">
                      <a:avLst/>
                    </a:prstGeom>
                    <a:noFill/>
                    <a:ln w="9525">
                      <a:noFill/>
                      <a:headEnd/>
                      <a:tailEnd/>
                    </a:ln>
                  </pic:spPr>
                </pic:pic>
              </a:graphicData>
            </a:graphic>
          </wp:inline>
        </w:drawing>
      </w:r>
      <w:r>
        <w:t xml:space="preserve"> </w:t>
      </w:r>
      <w:r>
        <w:rPr>
          <w:bCs/>
          <w:b/>
        </w:rPr>
        <w:t xml:space="preserve">Figure 1a. Heatmap of significance and direction across exposure-outcome combinations of associations estimated using fixed effects.</w:t>
      </w:r>
      <w:r>
        <w:rPr>
          <w:bCs/>
          <w:b/>
        </w:rPr>
        <w:t xml:space="preserve"> </w:t>
      </w:r>
    </w:p>
    <w:p>
      <w:pPr>
        <w:pStyle w:val="BodyText"/>
      </w:pPr>
      <w:r>
        <w:drawing>
          <wp:inline>
            <wp:extent cx="5334000" cy="8001000"/>
            <wp:effectExtent b="0" l="0" r="0" t="0"/>
            <wp:docPr descr="" title="" id="1" name="Picture"/>
            <a:graphic>
              <a:graphicData uri="http://schemas.openxmlformats.org/drawingml/2006/picture">
                <pic:pic>
                  <pic:nvPicPr>
                    <pic:cNvPr descr="figures//manuscript-figure-composites/risk-factor/extended-data/fig-laz-PAR-strat-age_FE.png" id="0" name="Picture"/>
                    <pic:cNvPicPr>
                      <a:picLocks noChangeArrowheads="1" noChangeAspect="1"/>
                    </pic:cNvPicPr>
                  </pic:nvPicPr>
                  <pic:blipFill>
                    <a:blip r:embed="rId35"/>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rPr>
          <w:bCs/>
          <w:b/>
        </w:rPr>
        <w:t xml:space="preserve">Extended Data Figure 3 | Age-stratified population attributable differences in length-for-age Z-scores estimated using fixed effects.</w:t>
      </w:r>
      <w:r>
        <w:rPr>
          <w:bCs/>
          <w:b/>
        </w:rPr>
        <w:t xml:space="preserve"> </w:t>
      </w:r>
    </w:p>
    <w:p>
      <w:pPr>
        <w:pStyle w:val="BodyText"/>
      </w:pPr>
      <w:r>
        <w:drawing>
          <wp:inline>
            <wp:extent cx="5334000" cy="8001000"/>
            <wp:effectExtent b="0" l="0" r="0" t="0"/>
            <wp:docPr descr="" title="" id="1" name="Picture"/>
            <a:graphic>
              <a:graphicData uri="http://schemas.openxmlformats.org/drawingml/2006/picture">
                <pic:pic>
                  <pic:nvPicPr>
                    <pic:cNvPr descr="figures//manuscript-figure-composites/risk-factor/extended-data/fig-wlz-PAR-strat-age_FE.png" id="0" name="Picture"/>
                    <pic:cNvPicPr>
                      <a:picLocks noChangeArrowheads="1" noChangeAspect="1"/>
                    </pic:cNvPicPr>
                  </pic:nvPicPr>
                  <pic:blipFill>
                    <a:blip r:embed="rId36"/>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rPr>
          <w:bCs/>
          <w:b/>
        </w:rPr>
        <w:t xml:space="preserve">Extended Data Figure 4 | Age-stratified population attributable differences in weight-for-length Z-scores estimated using fixed effects.</w:t>
      </w:r>
      <w:r>
        <w:rPr>
          <w:bCs/>
          <w:b/>
        </w:rPr>
        <w:t xml:space="preserve"> </w:t>
      </w:r>
    </w:p>
    <w:p>
      <w:pPr>
        <w:pStyle w:val="BodyText"/>
      </w:pPr>
      <w:r>
        <w:drawing>
          <wp:inline>
            <wp:extent cx="5334000" cy="8001000"/>
            <wp:effectExtent b="0" l="0" r="0" t="0"/>
            <wp:docPr descr="" title="" id="1" name="Picture"/>
            <a:graphic>
              <a:graphicData uri="http://schemas.openxmlformats.org/drawingml/2006/picture">
                <pic:pic>
                  <pic:nvPicPr>
                    <pic:cNvPr descr="figures//manuscript-figure-composites/risk-factor/extended-data/fig-laz-PAR-strat-region_FE.png" id="0" name="Picture"/>
                    <pic:cNvPicPr>
                      <a:picLocks noChangeArrowheads="1" noChangeAspect="1"/>
                    </pic:cNvPicPr>
                  </pic:nvPicPr>
                  <pic:blipFill>
                    <a:blip r:embed="rId37"/>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rPr>
          <w:bCs/>
          <w:b/>
        </w:rPr>
        <w:t xml:space="preserve">Extended Data Figure 7 | Region-stratified population attributable differences in length-for-age Z-scores estimated using fixed effects.</w:t>
      </w:r>
      <w:r>
        <w:rPr>
          <w:bCs/>
          <w:b/>
        </w:rPr>
        <w:t xml:space="preserve"> </w:t>
      </w:r>
    </w:p>
    <w:p>
      <w:pPr>
        <w:pStyle w:val="BodyText"/>
      </w:pPr>
      <w:r>
        <w:drawing>
          <wp:inline>
            <wp:extent cx="5334000" cy="8001000"/>
            <wp:effectExtent b="0" l="0" r="0" t="0"/>
            <wp:docPr descr="" title="" id="1" name="Picture"/>
            <a:graphic>
              <a:graphicData uri="http://schemas.openxmlformats.org/drawingml/2006/picture">
                <pic:pic>
                  <pic:nvPicPr>
                    <pic:cNvPr descr="figures//manuscript-figure-composites/risk-factor/extended-data/fig-wlz-PAR-strat-region_FE.png" id="0" name="Picture"/>
                    <pic:cNvPicPr>
                      <a:picLocks noChangeArrowheads="1" noChangeAspect="1"/>
                    </pic:cNvPicPr>
                  </pic:nvPicPr>
                  <pic:blipFill>
                    <a:blip r:embed="rId38"/>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rPr>
          <w:bCs/>
          <w:b/>
        </w:rPr>
        <w:t xml:space="preserve">Extended Data Figure 8 | Region-stratified population attributable differences in weight-for-length Z-scores estimated using fixed effects.</w:t>
      </w:r>
      <w:r>
        <w:rPr>
          <w:bCs/>
          <w:b/>
        </w:rPr>
        <w:t xml:space="preserve"> </w:t>
      </w:r>
    </w:p>
    <w:bookmarkEnd w:id="39"/>
    <w:bookmarkEnd w:id="40"/>
    <w:bookmarkStart w:id="42" w:name="unadjusted"/>
    <w:p>
      <w:pPr>
        <w:pStyle w:val="Heading1"/>
      </w:pPr>
      <w:r>
        <w:rPr>
          <w:rStyle w:val="SectionNumber"/>
        </w:rPr>
        <w:t xml:space="preserve">4</w:t>
      </w:r>
      <w:r>
        <w:tab/>
      </w:r>
      <w:r>
        <w:t xml:space="preserve">Unadjusted Population Attributable Difference plots</w:t>
      </w:r>
    </w:p>
    <w:p>
      <w:pPr>
        <w:pStyle w:val="FirstParagraph"/>
      </w:pPr>
      <w:r>
        <w:drawing>
          <wp:inline>
            <wp:extent cx="5334000" cy="5334000"/>
            <wp:effectExtent b="0" l="0" r="0" t="0"/>
            <wp:docPr descr="" title="" id="1" name="Picture"/>
            <a:graphic>
              <a:graphicData uri="http://schemas.openxmlformats.org/drawingml/2006/picture">
                <pic:pic>
                  <pic:nvPicPr>
                    <pic:cNvPr descr="figures//risk-factor/fig-PAR-unadj-comp.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bookmarkEnd w:id="42"/>
    <w:bookmarkStart w:id="54" w:name="mortality"/>
    <w:p>
      <w:pPr>
        <w:pStyle w:val="Heading1"/>
      </w:pPr>
      <w:r>
        <w:rPr>
          <w:rStyle w:val="SectionNumber"/>
        </w:rPr>
        <w:t xml:space="preserve">5</w:t>
      </w:r>
      <w:r>
        <w:tab/>
      </w:r>
      <w:r>
        <w:t xml:space="preserve">Mortality Sensitivity Analyses</w:t>
      </w:r>
    </w:p>
    <w:bookmarkStart w:id="53" w:name="overview-3"/>
    <w:p>
      <w:pPr>
        <w:pStyle w:val="Heading2"/>
      </w:pPr>
      <w:r>
        <w:rPr>
          <w:rStyle w:val="SectionNumber"/>
        </w:rPr>
        <w:t xml:space="preserve">5.1</w:t>
      </w:r>
      <w:r>
        <w:tab/>
      </w:r>
      <w:r>
        <w:t xml:space="preserve">Overview</w:t>
      </w:r>
    </w:p>
    <w:p>
      <w:pPr>
        <w:pStyle w:val="FirstParagraph"/>
      </w:pPr>
      <w:r>
        <w:rPr>
          <w:bCs/>
          <w:b/>
        </w:rPr>
        <w:t xml:space="preserve">Purpose:</w:t>
      </w:r>
      <w:r>
        <w:rPr>
          <w:bCs/>
          <w:b/>
        </w:rPr>
        <w:t xml:space="preserve"> </w:t>
      </w:r>
      <w:r>
        <w:t xml:space="preserve"> </w:t>
      </w:r>
      <w:r>
        <w:rPr>
          <w:bCs/>
          <w:b/>
        </w:rPr>
        <w:t xml:space="preserve">Interpretation:</w:t>
      </w:r>
      <w:r>
        <w:rPr>
          <w:bCs/>
          <w:b/>
        </w:rPr>
        <w:t xml:space="preserve"> </w:t>
      </w:r>
      <w:r>
        <w:t xml:space="preserve"> </w:t>
      </w:r>
      <w:r>
        <w:rPr>
          <w:bCs/>
          <w:b/>
        </w:rPr>
        <w:t xml:space="preserve">Implications:</w:t>
      </w:r>
      <w:r>
        <w:rPr>
          <w:bCs/>
          <w:b/>
        </w:rPr>
        <w:t xml:space="preserve"> </w:t>
      </w:r>
    </w:p>
    <w:bookmarkStart w:id="44" w:name="X36f77925aebf7746ef44e777ba6e6ca054e5812"/>
    <w:p>
      <w:pPr>
        <w:pStyle w:val="Heading3"/>
      </w:pPr>
      <w:r>
        <w:rPr>
          <w:rStyle w:val="SectionNumber"/>
        </w:rPr>
        <w:t xml:space="preserve">5.1.1</w:t>
      </w:r>
      <w:r>
        <w:tab/>
      </w:r>
      <w:r>
        <w:t xml:space="preserve">Comparisons of associations between early growth failure and different ages of mortality</w:t>
      </w:r>
    </w:p>
    <w:p>
      <w:pPr>
        <w:pStyle w:val="FirstParagraph"/>
      </w:pPr>
      <w:r>
        <w:drawing>
          <wp:inline>
            <wp:extent cx="4770782" cy="4770782"/>
            <wp:effectExtent b="0" l="0" r="0" t="0"/>
            <wp:docPr descr="" title="" id="1" name="Picture"/>
            <a:graphic>
              <a:graphicData uri="http://schemas.openxmlformats.org/drawingml/2006/picture">
                <pic:pic>
                  <pic:nvPicPr>
                    <pic:cNvPr descr="figures//risk-factor/fig-mort-RR.png" id="0" name="Picture"/>
                    <pic:cNvPicPr>
                      <a:picLocks noChangeArrowheads="1" noChangeAspect="1"/>
                    </pic:cNvPicPr>
                  </pic:nvPicPr>
                  <pic:blipFill>
                    <a:blip r:embed="rId43"/>
                    <a:stretch>
                      <a:fillRect/>
                    </a:stretch>
                  </pic:blipFill>
                  <pic:spPr bwMode="auto">
                    <a:xfrm>
                      <a:off x="0" y="0"/>
                      <a:ext cx="4770782" cy="4770782"/>
                    </a:xfrm>
                    <a:prstGeom prst="rect">
                      <a:avLst/>
                    </a:prstGeom>
                    <a:noFill/>
                    <a:ln w="9525">
                      <a:noFill/>
                      <a:headEnd/>
                      <a:tailEnd/>
                    </a:ln>
                  </pic:spPr>
                </pic:pic>
              </a:graphicData>
            </a:graphic>
          </wp:inline>
        </w:drawing>
      </w:r>
    </w:p>
    <w:bookmarkEnd w:id="44"/>
    <w:bookmarkStart w:id="46" w:name="X8a6346e31f438757d6cece1566dfe6dcfb024e2"/>
    <w:p>
      <w:pPr>
        <w:pStyle w:val="Heading3"/>
      </w:pPr>
      <w:r>
        <w:rPr>
          <w:rStyle w:val="SectionNumber"/>
        </w:rPr>
        <w:t xml:space="preserve">5.1.2</w:t>
      </w:r>
      <w:r>
        <w:tab/>
      </w:r>
      <w:r>
        <w:t xml:space="preserve">Comparisons of associations between early growth failure and different ages of mortality, pooled using fixed effects</w:t>
      </w:r>
    </w:p>
    <w:p>
      <w:pPr>
        <w:pStyle w:val="FirstParagraph"/>
      </w:pPr>
      <w:r>
        <w:drawing>
          <wp:inline>
            <wp:extent cx="4770782" cy="9174581"/>
            <wp:effectExtent b="0" l="0" r="0" t="0"/>
            <wp:docPr descr="" title="" id="1" name="Picture"/>
            <a:graphic>
              <a:graphicData uri="http://schemas.openxmlformats.org/drawingml/2006/picture">
                <pic:pic>
                  <pic:nvPicPr>
                    <pic:cNvPr descr="figures//risk-factor/fig-mort-RR-time-death_FE.png" id="0" name="Picture"/>
                    <pic:cNvPicPr>
                      <a:picLocks noChangeArrowheads="1" noChangeAspect="1"/>
                    </pic:cNvPicPr>
                  </pic:nvPicPr>
                  <pic:blipFill>
                    <a:blip r:embed="rId45"/>
                    <a:stretch>
                      <a:fillRect/>
                    </a:stretch>
                  </pic:blipFill>
                  <pic:spPr bwMode="auto">
                    <a:xfrm>
                      <a:off x="0" y="0"/>
                      <a:ext cx="4770782" cy="9174581"/>
                    </a:xfrm>
                    <a:prstGeom prst="rect">
                      <a:avLst/>
                    </a:prstGeom>
                    <a:noFill/>
                    <a:ln w="9525">
                      <a:noFill/>
                      <a:headEnd/>
                      <a:tailEnd/>
                    </a:ln>
                  </pic:spPr>
                </pic:pic>
              </a:graphicData>
            </a:graphic>
          </wp:inline>
        </w:drawing>
      </w:r>
    </w:p>
    <w:bookmarkEnd w:id="46"/>
    <w:bookmarkStart w:id="48" w:name="X185249989bfdf62b37f7a42c7eabcf62596e978"/>
    <w:p>
      <w:pPr>
        <w:pStyle w:val="Heading3"/>
      </w:pPr>
      <w:r>
        <w:rPr>
          <w:rStyle w:val="SectionNumber"/>
        </w:rPr>
        <w:t xml:space="preserve">5.1.3</w:t>
      </w:r>
      <w:r>
        <w:tab/>
      </w:r>
      <w:r>
        <w:t xml:space="preserve">Comparisons of associations between early growth failure and different ages of mortality, dropping biyearly-measured cohorts</w:t>
      </w:r>
    </w:p>
    <w:p>
      <w:pPr>
        <w:pStyle w:val="FirstParagraph"/>
      </w:pPr>
      <w:r>
        <w:drawing>
          <wp:inline>
            <wp:extent cx="4770782" cy="4770782"/>
            <wp:effectExtent b="0" l="0" r="0" t="0"/>
            <wp:docPr descr="" title="" id="1" name="Picture"/>
            <a:graphic>
              <a:graphicData uri="http://schemas.openxmlformats.org/drawingml/2006/picture">
                <pic:pic>
                  <pic:nvPicPr>
                    <pic:cNvPr descr="figures//risk-factor/fig-mort-RR-sens.png" id="0" name="Picture"/>
                    <pic:cNvPicPr>
                      <a:picLocks noChangeArrowheads="1" noChangeAspect="1"/>
                    </pic:cNvPicPr>
                  </pic:nvPicPr>
                  <pic:blipFill>
                    <a:blip r:embed="rId47"/>
                    <a:stretch>
                      <a:fillRect/>
                    </a:stretch>
                  </pic:blipFill>
                  <pic:spPr bwMode="auto">
                    <a:xfrm>
                      <a:off x="0" y="0"/>
                      <a:ext cx="4770782" cy="4770782"/>
                    </a:xfrm>
                    <a:prstGeom prst="rect">
                      <a:avLst/>
                    </a:prstGeom>
                    <a:noFill/>
                    <a:ln w="9525">
                      <a:noFill/>
                      <a:headEnd/>
                      <a:tailEnd/>
                    </a:ln>
                  </pic:spPr>
                </pic:pic>
              </a:graphicData>
            </a:graphic>
          </wp:inline>
        </w:drawing>
      </w:r>
    </w:p>
    <w:bookmarkEnd w:id="48"/>
    <w:bookmarkStart w:id="50" w:name="X70eee6ee25f55bc459a629029140e9588ae12b6"/>
    <w:p>
      <w:pPr>
        <w:pStyle w:val="Heading3"/>
      </w:pPr>
      <w:r>
        <w:rPr>
          <w:rStyle w:val="SectionNumber"/>
        </w:rPr>
        <w:t xml:space="preserve">5.1.4</w:t>
      </w:r>
      <w:r>
        <w:tab/>
      </w:r>
      <w:r>
        <w:t xml:space="preserve">Comparisons of associations between early growth failure and mortality and serious growth failure, stratified by region</w:t>
      </w:r>
    </w:p>
    <w:p>
      <w:pPr>
        <w:pStyle w:val="FirstParagraph"/>
      </w:pPr>
      <w:r>
        <w:drawing>
          <wp:inline>
            <wp:extent cx="5334000" cy="1733549"/>
            <wp:effectExtent b="0" l="0" r="0" t="0"/>
            <wp:docPr descr="" title="" id="1" name="Picture"/>
            <a:graphic>
              <a:graphicData uri="http://schemas.openxmlformats.org/drawingml/2006/picture">
                <pic:pic>
                  <pic:nvPicPr>
                    <pic:cNvPr descr="figures//risk-factor/fig-mort+morb-RR_Region.png" id="0" name="Picture"/>
                    <pic:cNvPicPr>
                      <a:picLocks noChangeArrowheads="1" noChangeAspect="1"/>
                    </pic:cNvPicPr>
                  </pic:nvPicPr>
                  <pic:blipFill>
                    <a:blip r:embed="rId49"/>
                    <a:stretch>
                      <a:fillRect/>
                    </a:stretch>
                  </pic:blipFill>
                  <pic:spPr bwMode="auto">
                    <a:xfrm>
                      <a:off x="0" y="0"/>
                      <a:ext cx="5334000" cy="1733549"/>
                    </a:xfrm>
                    <a:prstGeom prst="rect">
                      <a:avLst/>
                    </a:prstGeom>
                    <a:noFill/>
                    <a:ln w="9525">
                      <a:noFill/>
                      <a:headEnd/>
                      <a:tailEnd/>
                    </a:ln>
                  </pic:spPr>
                </pic:pic>
              </a:graphicData>
            </a:graphic>
          </wp:inline>
        </w:drawing>
      </w:r>
    </w:p>
    <w:bookmarkEnd w:id="50"/>
    <w:bookmarkStart w:id="52" w:name="Xeaf01ea3c01f4542f274eed9d1f681b5b2fd171"/>
    <w:p>
      <w:pPr>
        <w:pStyle w:val="Heading3"/>
      </w:pPr>
      <w:r>
        <w:rPr>
          <w:rStyle w:val="SectionNumber"/>
        </w:rPr>
        <w:t xml:space="preserve">5.1.5</w:t>
      </w:r>
      <w:r>
        <w:tab/>
      </w:r>
      <w:r>
        <w:t xml:space="preserve">Comparisons of associations between early growth failure and mortality and serious growth failure, pooled using fixed effects</w:t>
      </w:r>
    </w:p>
    <w:p>
      <w:pPr>
        <w:pStyle w:val="FirstParagraph"/>
      </w:pPr>
      <w:r>
        <w:drawing>
          <wp:inline>
            <wp:extent cx="5334000" cy="1981200"/>
            <wp:effectExtent b="0" l="0" r="0" t="0"/>
            <wp:docPr descr="" title="" id="1" name="Picture"/>
            <a:graphic>
              <a:graphicData uri="http://schemas.openxmlformats.org/drawingml/2006/picture">
                <pic:pic>
                  <pic:nvPicPr>
                    <pic:cNvPr descr="figures//risk-factor/fig-mort+morb-RR_FE.png" id="0" name="Picture"/>
                    <pic:cNvPicPr>
                      <a:picLocks noChangeArrowheads="1" noChangeAspect="1"/>
                    </pic:cNvPicPr>
                  </pic:nvPicPr>
                  <pic:blipFill>
                    <a:blip r:embed="rId51"/>
                    <a:stretch>
                      <a:fillRect/>
                    </a:stretch>
                  </pic:blipFill>
                  <pic:spPr bwMode="auto">
                    <a:xfrm>
                      <a:off x="0" y="0"/>
                      <a:ext cx="5334000" cy="1981200"/>
                    </a:xfrm>
                    <a:prstGeom prst="rect">
                      <a:avLst/>
                    </a:prstGeom>
                    <a:noFill/>
                    <a:ln w="9525">
                      <a:noFill/>
                      <a:headEnd/>
                      <a:tailEnd/>
                    </a:ln>
                  </pic:spPr>
                </pic:pic>
              </a:graphicData>
            </a:graphic>
          </wp:inline>
        </w:drawing>
      </w:r>
    </w:p>
    <w:bookmarkEnd w:id="52"/>
    <w:bookmarkEnd w:id="53"/>
    <w:bookmarkEnd w:id="54"/>
    <w:bookmarkStart w:id="115" w:name="rf_splines"/>
    <w:p>
      <w:pPr>
        <w:pStyle w:val="Heading1"/>
      </w:pPr>
      <w:r>
        <w:rPr>
          <w:rStyle w:val="SectionNumber"/>
        </w:rPr>
        <w:t xml:space="preserve">6</w:t>
      </w:r>
      <w:r>
        <w:tab/>
      </w:r>
      <w:r>
        <w:t xml:space="preserve">Spline plots: all exposures</w:t>
      </w:r>
    </w:p>
    <w:p>
      <w:pPr>
        <w:pStyle w:val="FirstParagraph"/>
      </w:pPr>
      <w:r>
        <w:t xml:space="preserve">Spline plots of HAZ and WHZ over the first two years of children’s lives, stratified by levels of risk factors. Plots were constructed using the same methods as for Figures 4a and 4b for all risk factors (details in the Methods section).</w:t>
      </w:r>
    </w:p>
    <w:p>
      <w:pPr>
        <w:pStyle w:val="BodyText"/>
      </w:pPr>
      <w:r>
        <w:drawing>
          <wp:inline>
            <wp:extent cx="5334000" cy="5334000"/>
            <wp:effectExtent b="0" l="0" r="0" t="0"/>
            <wp:docPr descr="" title="" id="1" name="Picture"/>
            <a:graphic>
              <a:graphicData uri="http://schemas.openxmlformats.org/drawingml/2006/picture">
                <pic:pic>
                  <pic:nvPicPr>
                    <pic:cNvPr descr="figures//risk-factor/spline-plots/LAZ-birthlen-spline.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birthwt-spline.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cleanck-spline.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earlybf-spline.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enstunt-spline.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enwast-spline.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fage-spline.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feducyrs-spline.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fhtcm-spline.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gagebrth-spline.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hdlvry-spline.png" id="0"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hfoodsec-spline.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hhwealth_quart-spline.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impfloor-spline.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impsan-spline.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mage-spline.png" id="0"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meducyrs-spline.png" id="0" name="Picture"/>
                    <pic:cNvPicPr>
                      <a:picLocks noChangeArrowheads="1" noChangeAspect="1"/>
                    </pic:cNvPicPr>
                  </pic:nvPicPr>
                  <pic:blipFill>
                    <a:blip r:embed="rId7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nchldlt5-spline.png" id="0" name="Picture"/>
                    <pic:cNvPicPr>
                      <a:picLocks noChangeArrowheads="1" noChangeAspect="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nhh-spline.png" id="0"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nrooms-spline.png" id="0" name="Picture"/>
                    <pic:cNvPicPr>
                      <a:picLocks noChangeArrowheads="1" noChangeAspect="1"/>
                    </pic:cNvPicPr>
                  </pic:nvPicPr>
                  <pic:blipFill>
                    <a:blip r:embed="rId7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arity-spline.png" id="0"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erdiar6-spline.png" id="0"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erdiar24-spline.png" id="0"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ers_wast-spline.png" id="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predexfd6-spline.png" id="0"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safeh20-spline.png" id="0" name="Picture"/>
                    <pic:cNvPicPr>
                      <a:picLocks noChangeArrowheads="1" noChangeAspect="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sex-spline.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single-spline.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trth2o-spline.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LAZ-vagbrth-spline.png" id="0" name="Picture"/>
                    <pic:cNvPicPr>
                      <a:picLocks noChangeArrowheads="1" noChangeAspect="1"/>
                    </pic:cNvPicPr>
                  </pic:nvPicPr>
                  <pic:blipFill>
                    <a:blip r:embed="rId8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birthlen-spline.png" id="0"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birthwt-spline.png" id="0" name="Picture"/>
                    <pic:cNvPicPr>
                      <a:picLocks noChangeArrowheads="1" noChangeAspect="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cleanck-spline.png" id="0" name="Picture"/>
                    <pic:cNvPicPr>
                      <a:picLocks noChangeArrowheads="1" noChangeAspect="1"/>
                    </pic:cNvPicPr>
                  </pic:nvPicPr>
                  <pic:blipFill>
                    <a:blip r:embed="rId8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earlybf-spline.png" id="0" name="Picture"/>
                    <pic:cNvPicPr>
                      <a:picLocks noChangeArrowheads="1" noChangeAspect="1"/>
                    </pic:cNvPicPr>
                  </pic:nvPicPr>
                  <pic:blipFill>
                    <a:blip r:embed="rId8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enstunt-spline.png" id="0" name="Picture"/>
                    <pic:cNvPicPr>
                      <a:picLocks noChangeArrowheads="1" noChangeAspect="1"/>
                    </pic:cNvPicPr>
                  </pic:nvPicPr>
                  <pic:blipFill>
                    <a:blip r:embed="rId8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enwast-spline.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fage-spline.png" id="0" name="Picture"/>
                    <pic:cNvPicPr>
                      <a:picLocks noChangeArrowheads="1" noChangeAspect="1"/>
                    </pic:cNvPicPr>
                  </pic:nvPicPr>
                  <pic:blipFill>
                    <a:blip r:embed="rId9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feducyrs-spline.png" id="0" name="Picture"/>
                    <pic:cNvPicPr>
                      <a:picLocks noChangeArrowheads="1" noChangeAspect="1"/>
                    </pic:cNvPicPr>
                  </pic:nvPicPr>
                  <pic:blipFill>
                    <a:blip r:embed="rId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fhtcm-spline.png" id="0" name="Picture"/>
                    <pic:cNvPicPr>
                      <a:picLocks noChangeArrowheads="1" noChangeAspect="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gagebrth-spline.png" id="0"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hdlvry-spline.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hfoodsec-spline.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hhwealth_quart-spline.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impfloor-spline.png" id="0" name="Picture"/>
                    <pic:cNvPicPr>
                      <a:picLocks noChangeArrowheads="1" noChangeAspect="1"/>
                    </pic:cNvPicPr>
                  </pic:nvPicPr>
                  <pic:blipFill>
                    <a:blip r:embed="rId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impsan-spline.png" id="0" name="Picture"/>
                    <pic:cNvPicPr>
                      <a:picLocks noChangeArrowheads="1" noChangeAspect="1"/>
                    </pic:cNvPicPr>
                  </pic:nvPicPr>
                  <pic:blipFill>
                    <a:blip r:embed="rId9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mage-spline.png" id="0"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meducyrs-spline.png" id="0"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nchldlt5-spline.png" id="0" name="Picture"/>
                    <pic:cNvPicPr>
                      <a:picLocks noChangeArrowheads="1" noChangeAspect="1"/>
                    </pic:cNvPicPr>
                  </pic:nvPicPr>
                  <pic:blipFill>
                    <a:blip r:embed="rId10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nhh-spline.png" id="0" name="Picture"/>
                    <pic:cNvPicPr>
                      <a:picLocks noChangeArrowheads="1" noChangeAspect="1"/>
                    </pic:cNvPicPr>
                  </pic:nvPicPr>
                  <pic:blipFill>
                    <a:blip r:embed="rId1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nrooms-spline.png" id="0" name="Picture"/>
                    <pic:cNvPicPr>
                      <a:picLocks noChangeArrowheads="1" noChangeAspect="1"/>
                    </pic:cNvPicPr>
                  </pic:nvPicPr>
                  <pic:blipFill>
                    <a:blip r:embed="rId10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arity-spline.png" id="0" name="Picture"/>
                    <pic:cNvPicPr>
                      <a:picLocks noChangeArrowheads="1" noChangeAspect="1"/>
                    </pic:cNvPicPr>
                  </pic:nvPicPr>
                  <pic:blipFill>
                    <a:blip r:embed="rId10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erdiar6-spline.png" id="0"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erdiar24-spline.png" id="0" name="Picture"/>
                    <pic:cNvPicPr>
                      <a:picLocks noChangeArrowheads="1" noChangeAspect="1"/>
                    </pic:cNvPicPr>
                  </pic:nvPicPr>
                  <pic:blipFill>
                    <a:blip r:embed="rId10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ers_wast-spline.png" id="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predexfd6-spline.png" id="0" name="Picture"/>
                    <pic:cNvPicPr>
                      <a:picLocks noChangeArrowheads="1" noChangeAspect="1"/>
                    </pic:cNvPicPr>
                  </pic:nvPicPr>
                  <pic:blipFill>
                    <a:blip r:embed="rId10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safeh20-spline.png" id="0"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sex-spline.png" id="0"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single-spline.png" id="0" name="Picture"/>
                    <pic:cNvPicPr>
                      <a:picLocks noChangeArrowheads="1" noChangeAspect="1"/>
                    </pic:cNvPicPr>
                  </pic:nvPicPr>
                  <pic:blipFill>
                    <a:blip r:embed="rId11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trth2o-spline.png" id="0" name="Picture"/>
                    <pic:cNvPicPr>
                      <a:picLocks noChangeArrowheads="1" noChangeAspect="1"/>
                    </pic:cNvPicPr>
                  </pic:nvPicPr>
                  <pic:blipFill>
                    <a:blip r:embed="rId11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figures//risk-factor/spline-plots/WLZ-vagbrth-spline.png" id="0" name="Picture"/>
                    <pic:cNvPicPr>
                      <a:picLocks noChangeArrowheads="1" noChangeAspect="1"/>
                    </pic:cNvPicPr>
                  </pic:nvPicPr>
                  <pic:blipFill>
                    <a:blip r:embed="rId114"/>
                    <a:stretch>
                      <a:fillRect/>
                    </a:stretch>
                  </pic:blipFill>
                  <pic:spPr bwMode="auto">
                    <a:xfrm>
                      <a:off x="0" y="0"/>
                      <a:ext cx="5334000" cy="5334000"/>
                    </a:xfrm>
                    <a:prstGeom prst="rect">
                      <a:avLst/>
                    </a:prstGeom>
                    <a:noFill/>
                    <a:ln w="9525">
                      <a:noFill/>
                      <a:headEnd/>
                      <a:tailEnd/>
                    </a:ln>
                  </pic:spPr>
                </pic:pic>
              </a:graphicData>
            </a:graphic>
          </wp:inline>
        </w:drawing>
      </w:r>
    </w:p>
    <w:bookmarkEnd w:id="115"/>
    <w:bookmarkStart w:id="119" w:name="no-PROBIT"/>
    <w:p>
      <w:pPr>
        <w:pStyle w:val="Heading1"/>
      </w:pPr>
      <w:r>
        <w:rPr>
          <w:rStyle w:val="SectionNumber"/>
        </w:rPr>
        <w:t xml:space="preserve">7</w:t>
      </w:r>
      <w:r>
        <w:tab/>
      </w:r>
      <w:r>
        <w:t xml:space="preserve">Sensitivity to dropping PROBIT trial</w:t>
      </w:r>
    </w:p>
    <w:bookmarkStart w:id="116" w:name="overview-4"/>
    <w:p>
      <w:pPr>
        <w:pStyle w:val="Heading2"/>
      </w:pPr>
      <w:r>
        <w:rPr>
          <w:rStyle w:val="SectionNumber"/>
        </w:rPr>
        <w:t xml:space="preserve">7.1</w:t>
      </w:r>
      <w:r>
        <w:tab/>
      </w:r>
      <w:r>
        <w:t xml:space="preserve">Overview</w:t>
      </w:r>
    </w:p>
    <w:p>
      <w:pPr>
        <w:pStyle w:val="FirstParagraph"/>
      </w:pPr>
      <w:r>
        <w:rPr>
          <w:bCs/>
          <w:b/>
        </w:rPr>
        <w:t xml:space="preserve">Purpose:</w:t>
      </w:r>
      <w:r>
        <w:rPr>
          <w:bCs/>
          <w:b/>
        </w:rPr>
        <w:t xml:space="preserve"> </w:t>
      </w:r>
      <w:r>
        <w:t xml:space="preserve"> </w:t>
      </w:r>
      <w:r>
        <w:t xml:space="preserve">The PROBIT trial, conducted in Belarus, was the only study included conducted in Europe, as opposed to Latin America, South Asia, or sub-Saharan Africa. It was also one of the largest studies, so may have an influential effect on the pooled estimates. Because of differences in income, environmental conditions, and population anthropometry, we reconducted the primary analyses without the PROBIT trial and present the results here.</w:t>
      </w:r>
      <w:r>
        <w:t xml:space="preserve"> </w:t>
      </w:r>
      <w:r>
        <w:rPr>
          <w:bCs/>
          <w:b/>
        </w:rPr>
        <w:t xml:space="preserve">Interpretation:</w:t>
      </w:r>
      <w:r>
        <w:rPr>
          <w:bCs/>
          <w:b/>
        </w:rPr>
        <w:t xml:space="preserve"> </w:t>
      </w:r>
      <w:r>
        <w:t xml:space="preserve"> </w:t>
      </w:r>
      <w:r>
        <w:t xml:space="preserve">Exclusion of the PROBIT trail did not affect the main inferences presented in the manuscript.</w:t>
      </w:r>
      <w:r>
        <w:t xml:space="preserve"> </w:t>
      </w:r>
      <w:r>
        <w:rPr>
          <w:bCs/>
          <w:b/>
        </w:rPr>
        <w:t xml:space="preserve">Implications:</w:t>
      </w:r>
      <w:r>
        <w:rPr>
          <w:bCs/>
          <w:b/>
        </w:rPr>
        <w:t xml:space="preserve"> </w:t>
      </w:r>
      <w:r>
        <w:t xml:space="preserve"> </w:t>
      </w:r>
      <w:r>
        <w:t xml:space="preserve">It was appropriate to include the PROBIT trial in the pooled results presented as the primary results of the manuscript.</w:t>
      </w:r>
    </w:p>
    <w:bookmarkEnd w:id="116"/>
    <w:bookmarkStart w:id="118" w:name="Xf4c28557ee3ea8527d7154470a772b10c5e2a4a"/>
    <w:p>
      <w:pPr>
        <w:pStyle w:val="Heading2"/>
      </w:pPr>
      <w:r>
        <w:rPr>
          <w:rStyle w:val="SectionNumber"/>
        </w:rPr>
        <w:t xml:space="preserve">7.2</w:t>
      </w:r>
      <w:r>
        <w:tab/>
      </w:r>
      <w:r>
        <w:t xml:space="preserve">Comparison of attributable differences estimated with and without the PROBIT trial</w:t>
      </w:r>
    </w:p>
    <w:p>
      <w:pPr>
        <w:pStyle w:val="FirstParagraph"/>
      </w:pPr>
      <w:r>
        <w:t xml:space="preserve">Because PROBIT was the only European study, we also conducted a sensitivity analysis as to the effect of removing PROBIT on attributable differences at 24 months (within the exposures measures during the PROBIT trial). Other than for the estimated associations between father’s height and child Z-scores at 24 months (which was measured in few other studies), PROBIT is not highly influential.</w:t>
      </w:r>
    </w:p>
    <w:p>
      <w:pPr>
        <w:pStyle w:val="BodyText"/>
      </w:pPr>
      <w:r>
        <w:drawing>
          <wp:inline>
            <wp:extent cx="5334000" cy="3333749"/>
            <wp:effectExtent b="0" l="0" r="0" t="0"/>
            <wp:docPr descr="" title="" id="1" name="Picture"/>
            <a:graphic>
              <a:graphicData uri="http://schemas.openxmlformats.org/drawingml/2006/picture">
                <pic:pic>
                  <pic:nvPicPr>
                    <pic:cNvPr descr="figures//risk-factor/fig-PAR-Probit-sensitivity.png" id="0" name="Picture"/>
                    <pic:cNvPicPr>
                      <a:picLocks noChangeArrowheads="1" noChangeAspect="1"/>
                    </pic:cNvPicPr>
                  </pic:nvPicPr>
                  <pic:blipFill>
                    <a:blip r:embed="rId117"/>
                    <a:stretch>
                      <a:fillRect/>
                    </a:stretch>
                  </pic:blipFill>
                  <pic:spPr bwMode="auto">
                    <a:xfrm>
                      <a:off x="0" y="0"/>
                      <a:ext cx="5334000" cy="3333749"/>
                    </a:xfrm>
                    <a:prstGeom prst="rect">
                      <a:avLst/>
                    </a:prstGeom>
                    <a:noFill/>
                    <a:ln w="9525">
                      <a:noFill/>
                      <a:headEnd/>
                      <a:tailEnd/>
                    </a:ln>
                  </pic:spPr>
                </pic:pic>
              </a:graphicData>
            </a:graphic>
          </wp:inline>
        </w:drawing>
      </w:r>
    </w:p>
    <w:bookmarkEnd w:id="118"/>
    <w:bookmarkEnd w:id="119"/>
    <w:bookmarkStart w:id="125" w:name="heatmaps"/>
    <w:p>
      <w:pPr>
        <w:pStyle w:val="Heading1"/>
      </w:pPr>
      <w:r>
        <w:rPr>
          <w:rStyle w:val="SectionNumber"/>
        </w:rPr>
        <w:t xml:space="preserve">8</w:t>
      </w:r>
      <w:r>
        <w:tab/>
      </w:r>
      <w:r>
        <w:t xml:space="preserve">Heatmaps</w:t>
      </w:r>
    </w:p>
    <w:bookmarkStart w:id="120" w:name="overview-5"/>
    <w:p>
      <w:pPr>
        <w:pStyle w:val="Heading2"/>
      </w:pPr>
      <w:r>
        <w:rPr>
          <w:rStyle w:val="SectionNumber"/>
        </w:rPr>
        <w:t xml:space="preserve">8.1</w:t>
      </w:r>
      <w:r>
        <w:tab/>
      </w:r>
      <w:r>
        <w:t xml:space="preserve">Overview</w:t>
      </w:r>
    </w:p>
    <w:p>
      <w:pPr>
        <w:pStyle w:val="FirstParagraph"/>
      </w:pPr>
      <w:r>
        <w:t xml:space="preserve">The heatmaps below are of the same design as Extended Data Figure 2, and show the significance and direction of estimates through the cell colors, separated across primary outcomes by child age. Red and orange cells are harmful exposures, while blue and green cells are protective exposures. The outcomes are labeled at the top of the columns, with each set of three columns the set of three ages analyzed for that outcome. Each row is a level of an exposure variable, with reference levels excluded. Rows are sorted top to bottom by increasing average p-value. Grey cells denote comparisons that were not estimated or could not be estimated because of data sparsity in the exposure-outcome combination. The first plot included region-stratified estimates, the second shows significance of estimates pooled across cohorts using fixed effects models, and the third shows significance of unadjusted estimates.</w:t>
      </w:r>
    </w:p>
    <w:bookmarkEnd w:id="120"/>
    <w:bookmarkStart w:id="121" w:name="X9e6df3f1d554fdf93a19d43807e18037a72b821"/>
    <w:p>
      <w:pPr>
        <w:pStyle w:val="Heading2"/>
      </w:pPr>
      <w:r>
        <w:rPr>
          <w:rStyle w:val="SectionNumber"/>
        </w:rPr>
        <w:t xml:space="preserve">8.2</w:t>
      </w:r>
      <w:r>
        <w:tab/>
      </w:r>
      <w:r>
        <w:t xml:space="preserve">Heatmap of significance of estimates, region stratified</w:t>
      </w:r>
    </w:p>
    <w:bookmarkEnd w:id="121"/>
    <w:bookmarkStart w:id="122" w:name="X413f6faaffdce63cb3d2334a1feaca6cedfa7a4"/>
    <w:p>
      <w:pPr>
        <w:pStyle w:val="Heading2"/>
      </w:pPr>
      <w:r>
        <w:rPr>
          <w:rStyle w:val="SectionNumber"/>
        </w:rPr>
        <w:t xml:space="preserve">8.3</w:t>
      </w:r>
      <w:r>
        <w:tab/>
      </w:r>
      <w:r>
        <w:t xml:space="preserve">Heatmap of significance of estimates pooled using fixed effects</w:t>
      </w:r>
    </w:p>
    <w:p>
      <w:pPr>
        <w:pStyle w:val="FirstParagraph"/>
      </w:pPr>
      <w:r>
        <w:drawing>
          <wp:inline>
            <wp:extent cx="5334000" cy="6493565"/>
            <wp:effectExtent b="0" l="0" r="0" t="0"/>
            <wp:docPr descr="" title="" id="1" name="Picture"/>
            <a:graphic>
              <a:graphicData uri="http://schemas.openxmlformats.org/drawingml/2006/picture">
                <pic:pic>
                  <pic:nvPicPr>
                    <pic:cNvPr descr="figures//risk-factor/fig-sig-heatmap_FE.png" id="0" name="Picture"/>
                    <pic:cNvPicPr>
                      <a:picLocks noChangeArrowheads="1" noChangeAspect="1"/>
                    </pic:cNvPicPr>
                  </pic:nvPicPr>
                  <pic:blipFill>
                    <a:blip r:embed="rId34"/>
                    <a:stretch>
                      <a:fillRect/>
                    </a:stretch>
                  </pic:blipFill>
                  <pic:spPr bwMode="auto">
                    <a:xfrm>
                      <a:off x="0" y="0"/>
                      <a:ext cx="5334000" cy="6493565"/>
                    </a:xfrm>
                    <a:prstGeom prst="rect">
                      <a:avLst/>
                    </a:prstGeom>
                    <a:noFill/>
                    <a:ln w="9525">
                      <a:noFill/>
                      <a:headEnd/>
                      <a:tailEnd/>
                    </a:ln>
                  </pic:spPr>
                </pic:pic>
              </a:graphicData>
            </a:graphic>
          </wp:inline>
        </w:drawing>
      </w:r>
    </w:p>
    <w:bookmarkEnd w:id="122"/>
    <w:bookmarkStart w:id="124" w:name="X37ef4b07e69fd075e66d015f3d05c2f55887572"/>
    <w:p>
      <w:pPr>
        <w:pStyle w:val="Heading2"/>
      </w:pPr>
      <w:r>
        <w:rPr>
          <w:rStyle w:val="SectionNumber"/>
        </w:rPr>
        <w:t xml:space="preserve">8.4</w:t>
      </w:r>
      <w:r>
        <w:tab/>
      </w:r>
      <w:r>
        <w:t xml:space="preserve">Heatmap of significance of estimate, unadjusted</w:t>
      </w:r>
    </w:p>
    <w:p>
      <w:pPr>
        <w:pStyle w:val="FirstParagraph"/>
      </w:pPr>
      <w:r>
        <w:drawing>
          <wp:inline>
            <wp:extent cx="5334000" cy="6493565"/>
            <wp:effectExtent b="0" l="0" r="0" t="0"/>
            <wp:docPr descr="" title="" id="1" name="Picture"/>
            <a:graphic>
              <a:graphicData uri="http://schemas.openxmlformats.org/drawingml/2006/picture">
                <pic:pic>
                  <pic:nvPicPr>
                    <pic:cNvPr descr="figures//risk-factor/fig-sig-heatmap_unadj.png" id="0" name="Picture"/>
                    <pic:cNvPicPr>
                      <a:picLocks noChangeArrowheads="1" noChangeAspect="1"/>
                    </pic:cNvPicPr>
                  </pic:nvPicPr>
                  <pic:blipFill>
                    <a:blip r:embed="rId123"/>
                    <a:stretch>
                      <a:fillRect/>
                    </a:stretch>
                  </pic:blipFill>
                  <pic:spPr bwMode="auto">
                    <a:xfrm>
                      <a:off x="0" y="0"/>
                      <a:ext cx="5334000" cy="6493565"/>
                    </a:xfrm>
                    <a:prstGeom prst="rect">
                      <a:avLst/>
                    </a:prstGeom>
                    <a:noFill/>
                    <a:ln w="9525">
                      <a:noFill/>
                      <a:headEnd/>
                      <a:tailEnd/>
                    </a:ln>
                  </pic:spPr>
                </pic:pic>
              </a:graphicData>
            </a:graphic>
          </wp:inline>
        </w:drawing>
      </w:r>
    </w:p>
    <w:bookmarkEnd w:id="124"/>
    <w:bookmarkEnd w:id="125"/>
    <w:bookmarkStart w:id="158" w:name="RR"/>
    <w:p>
      <w:pPr>
        <w:pStyle w:val="Heading1"/>
      </w:pPr>
      <w:r>
        <w:rPr>
          <w:rStyle w:val="SectionNumber"/>
        </w:rPr>
        <w:t xml:space="preserve">9</w:t>
      </w:r>
      <w:r>
        <w:tab/>
      </w:r>
      <w:r>
        <w:t xml:space="preserve">Relative risk plots</w:t>
      </w:r>
    </w:p>
    <w:bookmarkStart w:id="157" w:name="overview-6"/>
    <w:p>
      <w:pPr>
        <w:pStyle w:val="Heading2"/>
      </w:pPr>
      <w:r>
        <w:rPr>
          <w:rStyle w:val="SectionNumber"/>
        </w:rPr>
        <w:t xml:space="preserve">9.1</w:t>
      </w:r>
      <w:r>
        <w:tab/>
      </w:r>
      <w:r>
        <w:t xml:space="preserve">Overview</w:t>
      </w:r>
    </w:p>
    <w:p>
      <w:pPr>
        <w:pStyle w:val="FirstParagraph"/>
      </w:pPr>
      <w:r>
        <w:rPr>
          <w:bCs/>
          <w:b/>
        </w:rPr>
        <w:t xml:space="preserve">Purpose:</w:t>
      </w:r>
      <w:r>
        <w:rPr>
          <w:bCs/>
          <w:b/>
        </w:rPr>
        <w:t xml:space="preserve"> </w:t>
      </w:r>
    </w:p>
    <w:p>
      <w:pPr>
        <w:pStyle w:val="BodyText"/>
      </w:pPr>
      <w:r>
        <w:t xml:space="preserve">The primary parameter presented in the</w:t>
      </w:r>
      <w:r>
        <w:t xml:space="preserve"> </w:t>
      </w:r>
      <w:r>
        <w:t xml:space="preserve">“</w:t>
      </w:r>
      <w:r>
        <w:t xml:space="preserve">Causes and Consequences of Child Growth Failure in Low- and Middle-income Countries</w:t>
      </w:r>
      <w:r>
        <w:t xml:space="preserve">”</w:t>
      </w:r>
      <w:r>
        <w:t xml:space="preserve"> </w:t>
      </w:r>
      <w:r>
        <w:t xml:space="preserve">publications is the population intervention effect (PIE), the change in mean population Z-score if a exposure is shifted to the lowest-risk level, which combines the increase of risk associated with an exposure with the prevalence of the exposure in the population. This page of the supporting information presents plots for pooled relative risks (RR) and average treatment effects (ATE) for each level of each exposure. Relative risk are reported for binary CGF outcomes (stunting, wasting, underweight, severe stunting, severe wasting, and severe underweight) and ATEs are reported for continuous Z-score outcomes.</w:t>
      </w:r>
    </w:p>
    <w:p>
      <w:pPr>
        <w:pStyle w:val="BodyText"/>
      </w:pPr>
      <w:r>
        <w:rPr>
          <w:bCs/>
          <w:b/>
        </w:rPr>
        <w:t xml:space="preserve">Interpretation:</w:t>
      </w:r>
      <w:r>
        <w:rPr>
          <w:bCs/>
          <w:b/>
        </w:rPr>
        <w:t xml:space="preserve"> </w:t>
      </w:r>
    </w:p>
    <w:p>
      <w:pPr>
        <w:pStyle w:val="BodyText"/>
      </w:pPr>
      <w:r>
        <w:t xml:space="preserve">The primary purpose of this page is to present the pooled point estimates and confidence intervals for all of the results summarized in the Extended Data Figure 2 heatmap, and to allow the reader to compare the levels of risk across categorical exposures. The population intervention effects and attributable fraction presented in the primary manuscript show the result when shifting the exposure distribution to the low-risk reference levels, but the results presented here allow for comparing other exposure levels, like food secure versus moderately food insecure.</w:t>
      </w:r>
    </w:p>
    <w:p>
      <w:pPr>
        <w:pStyle w:val="BodyText"/>
      </w:pPr>
      <w:r>
        <w:rPr>
          <w:bCs/>
          <w:b/>
        </w:rPr>
        <w:t xml:space="preserve">Implications:</w:t>
      </w:r>
      <w:r>
        <w:rPr>
          <w:bCs/>
          <w:b/>
        </w:rPr>
        <w:t xml:space="preserve"> </w:t>
      </w:r>
    </w:p>
    <w:p>
      <w:pPr>
        <w:pStyle w:val="BodyText"/>
      </w:pPr>
      <w:r>
        <w:t xml:space="preserve">The strong risk factors identified through the use of Population Attributable Factors (Extended Data Figure 6) were almost always the strongest risk factors when examining average treatment effects and relative risks across different age categories and outcomes.</w:t>
      </w:r>
    </w:p>
    <w:bookmarkStart w:id="156" w:name="X79213575b5b000a3bb595a1079c8a777e801c46"/>
    <w:p>
      <w:pPr>
        <w:pStyle w:val="Heading3"/>
      </w:pPr>
      <w:r>
        <w:rPr>
          <w:rStyle w:val="SectionNumber"/>
        </w:rPr>
        <w:t xml:space="preserve">9.1.1</w:t>
      </w:r>
      <w:r>
        <w:tab/>
      </w:r>
      <w:r>
        <w:t xml:space="preserve">Relative risks between levels of all exposures for prevalence and cumulative incidence of wasting and stunting outcomes</w:t>
      </w:r>
    </w:p>
    <w:p>
      <w:pPr>
        <w:pStyle w:val="FirstParagraph"/>
      </w:pPr>
      <w:r>
        <w:t xml:space="preserve">Plots are grouped and titles by exposure, and each panel of grouped plots visualizez the relative risk between levels of the exposure and different age-specific growth failure outcomes.</w:t>
      </w:r>
    </w:p>
    <w:p>
      <w:pPr>
        <w:pStyle w:val="BodyText"/>
      </w:pPr>
      <w:r>
        <w:drawing>
          <wp:inline>
            <wp:extent cx="5334000" cy="3886200"/>
            <wp:effectExtent b="0" l="0" r="0" t="0"/>
            <wp:docPr descr="" title="" id="1" name="Picture"/>
            <a:graphic>
              <a:graphicData uri="http://schemas.openxmlformats.org/drawingml/2006/picture">
                <pic:pic>
                  <pic:nvPicPr>
                    <pic:cNvPr descr="figures/risk-factor/RR-plots/fig-RR-sex.png" id="0" name="Picture"/>
                    <pic:cNvPicPr>
                      <a:picLocks noChangeArrowheads="1" noChangeAspect="1"/>
                    </pic:cNvPicPr>
                  </pic:nvPicPr>
                  <pic:blipFill>
                    <a:blip r:embed="rId126"/>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birthlen.png" id="0" name="Picture"/>
                    <pic:cNvPicPr>
                      <a:picLocks noChangeArrowheads="1" noChangeAspect="1"/>
                    </pic:cNvPicPr>
                  </pic:nvPicPr>
                  <pic:blipFill>
                    <a:blip r:embed="rId127"/>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birthwt.png" id="0" name="Picture"/>
                    <pic:cNvPicPr>
                      <a:picLocks noChangeArrowheads="1" noChangeAspect="1"/>
                    </pic:cNvPicPr>
                  </pic:nvPicPr>
                  <pic:blipFill>
                    <a:blip r:embed="rId128"/>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cleanck.png" id="0" name="Picture"/>
                    <pic:cNvPicPr>
                      <a:picLocks noChangeArrowheads="1" noChangeAspect="1"/>
                    </pic:cNvPicPr>
                  </pic:nvPicPr>
                  <pic:blipFill>
                    <a:blip r:embed="rId129"/>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earlybf.png" id="0" name="Picture"/>
                    <pic:cNvPicPr>
                      <a:picLocks noChangeArrowheads="1" noChangeAspect="1"/>
                    </pic:cNvPicPr>
                  </pic:nvPicPr>
                  <pic:blipFill>
                    <a:blip r:embed="rId130"/>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fage.png" id="0" name="Picture"/>
                    <pic:cNvPicPr>
                      <a:picLocks noChangeArrowheads="1" noChangeAspect="1"/>
                    </pic:cNvPicPr>
                  </pic:nvPicPr>
                  <pic:blipFill>
                    <a:blip r:embed="rId131"/>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feducyrs.png" id="0" name="Picture"/>
                    <pic:cNvPicPr>
                      <a:picLocks noChangeArrowheads="1" noChangeAspect="1"/>
                    </pic:cNvPicPr>
                  </pic:nvPicPr>
                  <pic:blipFill>
                    <a:blip r:embed="rId132"/>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fhtcm.png" id="0" name="Picture"/>
                    <pic:cNvPicPr>
                      <a:picLocks noChangeArrowheads="1" noChangeAspect="1"/>
                    </pic:cNvPicPr>
                  </pic:nvPicPr>
                  <pic:blipFill>
                    <a:blip r:embed="rId133"/>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gagebrth.png" id="0" name="Picture"/>
                    <pic:cNvPicPr>
                      <a:picLocks noChangeArrowheads="1" noChangeAspect="1"/>
                    </pic:cNvPicPr>
                  </pic:nvPicPr>
                  <pic:blipFill>
                    <a:blip r:embed="rId134"/>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hdlvry.png" id="0" name="Picture"/>
                    <pic:cNvPicPr>
                      <a:picLocks noChangeArrowheads="1" noChangeAspect="1"/>
                    </pic:cNvPicPr>
                  </pic:nvPicPr>
                  <pic:blipFill>
                    <a:blip r:embed="rId135"/>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hfoodsec.png" id="0" name="Picture"/>
                    <pic:cNvPicPr>
                      <a:picLocks noChangeArrowheads="1" noChangeAspect="1"/>
                    </pic:cNvPicPr>
                  </pic:nvPicPr>
                  <pic:blipFill>
                    <a:blip r:embed="rId136"/>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hhwealth_quart.png" id="0" name="Picture"/>
                    <pic:cNvPicPr>
                      <a:picLocks noChangeArrowheads="1" noChangeAspect="1"/>
                    </pic:cNvPicPr>
                  </pic:nvPicPr>
                  <pic:blipFill>
                    <a:blip r:embed="rId137"/>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impfloor.png" id="0" name="Picture"/>
                    <pic:cNvPicPr>
                      <a:picLocks noChangeArrowheads="1" noChangeAspect="1"/>
                    </pic:cNvPicPr>
                  </pic:nvPicPr>
                  <pic:blipFill>
                    <a:blip r:embed="rId138"/>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impsan.png" id="0" name="Picture"/>
                    <pic:cNvPicPr>
                      <a:picLocks noChangeArrowheads="1" noChangeAspect="1"/>
                    </pic:cNvPicPr>
                  </pic:nvPicPr>
                  <pic:blipFill>
                    <a:blip r:embed="rId139"/>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mage.png" id="0" name="Picture"/>
                    <pic:cNvPicPr>
                      <a:picLocks noChangeArrowheads="1" noChangeAspect="1"/>
                    </pic:cNvPicPr>
                  </pic:nvPicPr>
                  <pic:blipFill>
                    <a:blip r:embed="rId140"/>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mbmi.png" id="0" name="Picture"/>
                    <pic:cNvPicPr>
                      <a:picLocks noChangeArrowheads="1" noChangeAspect="1"/>
                    </pic:cNvPicPr>
                  </pic:nvPicPr>
                  <pic:blipFill>
                    <a:blip r:embed="rId141"/>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meducyrs.png" id="0" name="Picture"/>
                    <pic:cNvPicPr>
                      <a:picLocks noChangeArrowheads="1" noChangeAspect="1"/>
                    </pic:cNvPicPr>
                  </pic:nvPicPr>
                  <pic:blipFill>
                    <a:blip r:embed="rId142"/>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mhtcm.png" id="0" name="Picture"/>
                    <pic:cNvPicPr>
                      <a:picLocks noChangeArrowheads="1" noChangeAspect="1"/>
                    </pic:cNvPicPr>
                  </pic:nvPicPr>
                  <pic:blipFill>
                    <a:blip r:embed="rId143"/>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mwtkg.png" id="0" name="Picture"/>
                    <pic:cNvPicPr>
                      <a:picLocks noChangeArrowheads="1" noChangeAspect="1"/>
                    </pic:cNvPicPr>
                  </pic:nvPicPr>
                  <pic:blipFill>
                    <a:blip r:embed="rId144"/>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nchldlt5.png" id="0" name="Picture"/>
                    <pic:cNvPicPr>
                      <a:picLocks noChangeArrowheads="1" noChangeAspect="1"/>
                    </pic:cNvPicPr>
                  </pic:nvPicPr>
                  <pic:blipFill>
                    <a:blip r:embed="rId145"/>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nhh.png" id="0" name="Picture"/>
                    <pic:cNvPicPr>
                      <a:picLocks noChangeArrowheads="1" noChangeAspect="1"/>
                    </pic:cNvPicPr>
                  </pic:nvPicPr>
                  <pic:blipFill>
                    <a:blip r:embed="rId146"/>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nrooms.png" id="0" name="Picture"/>
                    <pic:cNvPicPr>
                      <a:picLocks noChangeArrowheads="1" noChangeAspect="1"/>
                    </pic:cNvPicPr>
                  </pic:nvPicPr>
                  <pic:blipFill>
                    <a:blip r:embed="rId147"/>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parity.png" id="0" name="Picture"/>
                    <pic:cNvPicPr>
                      <a:picLocks noChangeArrowheads="1" noChangeAspect="1"/>
                    </pic:cNvPicPr>
                  </pic:nvPicPr>
                  <pic:blipFill>
                    <a:blip r:embed="rId148"/>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perdiar6.png" id="0" name="Picture"/>
                    <pic:cNvPicPr>
                      <a:picLocks noChangeArrowheads="1" noChangeAspect="1"/>
                    </pic:cNvPicPr>
                  </pic:nvPicPr>
                  <pic:blipFill>
                    <a:blip r:embed="rId149"/>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perdiar24.png" id="0" name="Picture"/>
                    <pic:cNvPicPr>
                      <a:picLocks noChangeArrowheads="1" noChangeAspect="1"/>
                    </pic:cNvPicPr>
                  </pic:nvPicPr>
                  <pic:blipFill>
                    <a:blip r:embed="rId150"/>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predexfd6.png" id="0" name="Picture"/>
                    <pic:cNvPicPr>
                      <a:picLocks noChangeArrowheads="1" noChangeAspect="1"/>
                    </pic:cNvPicPr>
                  </pic:nvPicPr>
                  <pic:blipFill>
                    <a:blip r:embed="rId151"/>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rain_quartile.png" id="0" name="Picture"/>
                    <pic:cNvPicPr>
                      <a:picLocks noChangeArrowheads="1" noChangeAspect="1"/>
                    </pic:cNvPicPr>
                  </pic:nvPicPr>
                  <pic:blipFill>
                    <a:blip r:embed="rId152"/>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safeh20.png" id="0" name="Picture"/>
                    <pic:cNvPicPr>
                      <a:picLocks noChangeArrowheads="1" noChangeAspect="1"/>
                    </pic:cNvPicPr>
                  </pic:nvPicPr>
                  <pic:blipFill>
                    <a:blip r:embed="rId153"/>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single.png" id="0" name="Picture"/>
                    <pic:cNvPicPr>
                      <a:picLocks noChangeArrowheads="1" noChangeAspect="1"/>
                    </pic:cNvPicPr>
                  </pic:nvPicPr>
                  <pic:blipFill>
                    <a:blip r:embed="rId154"/>
                    <a:stretch>
                      <a:fillRect/>
                    </a:stretch>
                  </pic:blipFill>
                  <pic:spPr bwMode="auto">
                    <a:xfrm>
                      <a:off x="0" y="0"/>
                      <a:ext cx="5334000" cy="3886200"/>
                    </a:xfrm>
                    <a:prstGeom prst="rect">
                      <a:avLst/>
                    </a:prstGeom>
                    <a:noFill/>
                    <a:ln w="9525">
                      <a:noFill/>
                      <a:headEnd/>
                      <a:tailEnd/>
                    </a:ln>
                  </pic:spPr>
                </pic:pic>
              </a:graphicData>
            </a:graphic>
          </wp:inline>
        </w:drawing>
      </w:r>
      <w:r>
        <w:drawing>
          <wp:inline>
            <wp:extent cx="5334000" cy="3886200"/>
            <wp:effectExtent b="0" l="0" r="0" t="0"/>
            <wp:docPr descr="" title="" id="1" name="Picture"/>
            <a:graphic>
              <a:graphicData uri="http://schemas.openxmlformats.org/drawingml/2006/picture">
                <pic:pic>
                  <pic:nvPicPr>
                    <pic:cNvPr descr="figures/risk-factor/RR-plots/fig-RR-vagbrth.png" id="0" name="Picture"/>
                    <pic:cNvPicPr>
                      <a:picLocks noChangeArrowheads="1" noChangeAspect="1"/>
                    </pic:cNvPicPr>
                  </pic:nvPicPr>
                  <pic:blipFill>
                    <a:blip r:embed="rId155"/>
                    <a:stretch>
                      <a:fillRect/>
                    </a:stretch>
                  </pic:blipFill>
                  <pic:spPr bwMode="auto">
                    <a:xfrm>
                      <a:off x="0" y="0"/>
                      <a:ext cx="5334000" cy="3886200"/>
                    </a:xfrm>
                    <a:prstGeom prst="rect">
                      <a:avLst/>
                    </a:prstGeom>
                    <a:noFill/>
                    <a:ln w="9525">
                      <a:noFill/>
                      <a:headEnd/>
                      <a:tailEnd/>
                    </a:ln>
                  </pic:spPr>
                </pic:pic>
              </a:graphicData>
            </a:graphic>
          </wp:inline>
        </w:drawing>
      </w:r>
    </w:p>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117" Target="media/rId117.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123" Target="media/rId12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26" Target="media/rId126.png" /><Relationship Type="http://schemas.openxmlformats.org/officeDocument/2006/relationships/image" Id="rId154" Target="media/rId154.png" /><Relationship Type="http://schemas.openxmlformats.org/officeDocument/2006/relationships/image" Id="rId155" Target="media/rId15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Causes and Consequences of Child Growth Failure in Low- and Middle-income Countries</dc:title>
  <dc:creator>Andrew Mertens et al.</dc:creator>
  <dc:description>This is supplementary information to Causes and Consequences of Child Growth Failure in Low- and Middle-income Countries</dc:description>
  <cp:keywords/>
  <dcterms:created xsi:type="dcterms:W3CDTF">2023-05-17T13:40:27Z</dcterms:created>
  <dcterms:modified xsi:type="dcterms:W3CDTF">2023-05-17T13:40:27Z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2023-05-17</vt:lpwstr>
  </property>
  <property fmtid="{D5CDD505-2E9C-101B-9397-08002B2CF9AE}" pid="6" name="documentclass">
    <vt:lpwstr>book</vt:lpwstr>
  </property>
  <property fmtid="{D5CDD505-2E9C-101B-9397-08002B2CF9AE}" pid="7" name="fontfamily">
    <vt:lpwstr>mathpazo</vt:lpwstr>
  </property>
  <property fmtid="{D5CDD505-2E9C-101B-9397-08002B2CF9AE}" pid="8" name="fontsize">
    <vt:lpwstr>9pt</vt:lpwstr>
  </property>
  <property fmtid="{D5CDD505-2E9C-101B-9397-08002B2CF9AE}" pid="9" name="github-repo">
    <vt:lpwstr>rstudio/bookdown-demo</vt:lpwstr>
  </property>
  <property fmtid="{D5CDD505-2E9C-101B-9397-08002B2CF9AE}" pid="10" name="link-citations">
    <vt:lpwstr>yes</vt:lpwstr>
  </property>
  <property fmtid="{D5CDD505-2E9C-101B-9397-08002B2CF9AE}" pid="11" name="output">
    <vt:lpwstr/>
  </property>
  <property fmtid="{D5CDD505-2E9C-101B-9397-08002B2CF9AE}" pid="12" name="site">
    <vt:lpwstr>bookdown::bookdown_site</vt:lpwstr>
  </property>
</Properties>
</file>